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9ba9" w14:textId="ac19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аймағында 2012 жылдың сәуір-маусым және қазан-желтоқсан айларында Қазақстан Республикасының азаматтарын кезекті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26 наурыздағы N 93 қаулысы. Солтүстік Қазақстан облысының Әділет департаментінде 2012 жылғы 3 сәуірде N 13-13-158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561-IV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жылдың 23 қантардағы № 148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2012 жылдың сәуір–маусым және қазан–желтоқсан айларында мерзімді әскери қызметке кезекті шақыру «Солтүстік Қазақстан облысы Уәлиханов ауданының қорғаныс істері жөніндегі бөлімі» мемлекеттік мекемесі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әскери қызметке қоса берілген азаматтардың шақырылу кестелері бекітілсін. </w:t>
      </w:r>
      <w:r>
        <w:br/>
      </w:r>
      <w:r>
        <w:rPr>
          <w:rFonts w:ascii="Times New Roman"/>
          <w:b w:val="false"/>
          <w:i w:val="false"/>
          <w:color w:val="000000"/>
          <w:sz w:val="28"/>
        </w:rPr>
        <w:t>
</w:t>
      </w:r>
      <w:r>
        <w:rPr>
          <w:rFonts w:ascii="Times New Roman"/>
          <w:b w:val="false"/>
          <w:i w:val="false"/>
          <w:color w:val="000000"/>
          <w:sz w:val="28"/>
        </w:rPr>
        <w:t>
      3. Селолық округтерінің әкімдері азаматтарды әскери қызметке шақыру кезеңінде ауданның әскери басқару жергілікті органға шақырылушылардың уақытылы жеткізілуін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Уәлиханов ауданының қаржы бөлімі» мемлекеттік мекемесі аудандық бюджет есебінен әскери қызметке азаматтарды шақыру бойынша шараларына шығындарының уақытылы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5. Аудан әкімінің аппарат басшысы шақырудың өткізу кезеңінде 2 бірлік санымен техникалық қызметкерлерді және қызмет көрсететін персоналды жұмысқа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Е.Ш. Махатовқа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кейін он күнтізбелік күн өткен соң қолданысқа енгізіледі және 2012 жылғы 1 сәуірдегі пайда болған құқықтық қатынастарға таралады.</w:t>
      </w:r>
    </w:p>
    <w:bookmarkEnd w:id="0"/>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Қанат Жаңабайұлы Омаров</w:t>
      </w:r>
      <w:r>
        <w:br/>
      </w:r>
      <w:r>
        <w:rPr>
          <w:rFonts w:ascii="Times New Roman"/>
          <w:b w:val="false"/>
          <w:i w:val="false"/>
          <w:color w:val="000000"/>
          <w:sz w:val="28"/>
        </w:rPr>
        <w:t>
</w:t>
      </w:r>
      <w:r>
        <w:rPr>
          <w:rFonts w:ascii="Times New Roman"/>
          <w:b w:val="false"/>
          <w:i/>
          <w:color w:val="000000"/>
          <w:sz w:val="28"/>
        </w:rPr>
        <w:t>      (СҚО УА ҚІЖБ)                           2012 жылы 26 наурыз</w:t>
      </w:r>
    </w:p>
    <w:bookmarkStart w:name="z9" w:id="1"/>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26 наурыздағы № 93</w:t>
      </w:r>
      <w:r>
        <w:br/>
      </w:r>
      <w:r>
        <w:rPr>
          <w:rFonts w:ascii="Times New Roman"/>
          <w:b w:val="false"/>
          <w:i w:val="false"/>
          <w:color w:val="000000"/>
          <w:sz w:val="28"/>
        </w:rPr>
        <w:t>
қаулысымен</w:t>
      </w:r>
      <w:r>
        <w:br/>
      </w:r>
      <w:r>
        <w:rPr>
          <w:rFonts w:ascii="Times New Roman"/>
          <w:b w:val="false"/>
          <w:i w:val="false"/>
          <w:color w:val="000000"/>
          <w:sz w:val="28"/>
        </w:rPr>
        <w:t>
№ 1-қосымша</w:t>
      </w:r>
    </w:p>
    <w:bookmarkEnd w:id="1"/>
    <w:p>
      <w:pPr>
        <w:spacing w:after="0"/>
        <w:ind w:left="0"/>
        <w:jc w:val="left"/>
      </w:pPr>
      <w:r>
        <w:rPr>
          <w:rFonts w:ascii="Times New Roman"/>
          <w:b/>
          <w:i w:val="false"/>
          <w:color w:val="000000"/>
        </w:rPr>
        <w:t xml:space="preserve"> 2012 жылдың сәуiр-маусымында азаматтарды әскери қызметке шақыруды өткiзу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421"/>
        <w:gridCol w:w="1010"/>
        <w:gridCol w:w="987"/>
        <w:gridCol w:w="1010"/>
        <w:gridCol w:w="964"/>
        <w:gridCol w:w="987"/>
        <w:gridCol w:w="1033"/>
        <w:gridCol w:w="1010"/>
        <w:gridCol w:w="987"/>
        <w:gridCol w:w="1012"/>
      </w:tblGrid>
      <w:tr>
        <w:trPr>
          <w:trHeight w:val="16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округінің</w:t>
            </w:r>
            <w:r>
              <w:br/>
            </w: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өту күндері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сәуір-маусым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04.</w:t>
            </w:r>
            <w:r>
              <w:br/>
            </w:r>
            <w:r>
              <w:rPr>
                <w:rFonts w:ascii="Times New Roman"/>
                <w:b w:val="false"/>
                <w:i w:val="false"/>
                <w:color w:val="000000"/>
                <w:sz w:val="20"/>
              </w:rPr>
              <w:t>
2012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04.</w:t>
            </w:r>
            <w:r>
              <w:br/>
            </w:r>
            <w:r>
              <w:rPr>
                <w:rFonts w:ascii="Times New Roman"/>
                <w:b w:val="false"/>
                <w:i w:val="false"/>
                <w:color w:val="000000"/>
                <w:sz w:val="20"/>
              </w:rPr>
              <w:t>
2012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04.</w:t>
            </w:r>
            <w:r>
              <w:br/>
            </w:r>
            <w:r>
              <w:rPr>
                <w:rFonts w:ascii="Times New Roman"/>
                <w:b w:val="false"/>
                <w:i w:val="false"/>
                <w:color w:val="000000"/>
                <w:sz w:val="20"/>
              </w:rPr>
              <w:t>
2012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w:t>
            </w:r>
            <w:r>
              <w:br/>
            </w:r>
            <w:r>
              <w:rPr>
                <w:rFonts w:ascii="Times New Roman"/>
                <w:b w:val="false"/>
                <w:i w:val="false"/>
                <w:color w:val="000000"/>
                <w:sz w:val="20"/>
              </w:rPr>
              <w:t>
2012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04.</w:t>
            </w:r>
            <w:r>
              <w:br/>
            </w:r>
            <w:r>
              <w:rPr>
                <w:rFonts w:ascii="Times New Roman"/>
                <w:b w:val="false"/>
                <w:i w:val="false"/>
                <w:color w:val="000000"/>
                <w:sz w:val="20"/>
              </w:rPr>
              <w:t>
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04.</w:t>
            </w:r>
            <w:r>
              <w:br/>
            </w:r>
            <w:r>
              <w:rPr>
                <w:rFonts w:ascii="Times New Roman"/>
                <w:b w:val="false"/>
                <w:i w:val="false"/>
                <w:color w:val="000000"/>
                <w:sz w:val="20"/>
              </w:rPr>
              <w:t>
2012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04.</w:t>
            </w:r>
            <w:r>
              <w:br/>
            </w:r>
            <w:r>
              <w:rPr>
                <w:rFonts w:ascii="Times New Roman"/>
                <w:b w:val="false"/>
                <w:i w:val="false"/>
                <w:color w:val="000000"/>
                <w:sz w:val="20"/>
              </w:rPr>
              <w:t>
2012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04.</w:t>
            </w:r>
            <w:r>
              <w:br/>
            </w:r>
            <w:r>
              <w:rPr>
                <w:rFonts w:ascii="Times New Roman"/>
                <w:b w:val="false"/>
                <w:i w:val="false"/>
                <w:color w:val="000000"/>
                <w:sz w:val="20"/>
              </w:rPr>
              <w:t>
2012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04.</w:t>
            </w:r>
            <w:r>
              <w:br/>
            </w:r>
            <w:r>
              <w:rPr>
                <w:rFonts w:ascii="Times New Roman"/>
                <w:b w:val="false"/>
                <w:i w:val="false"/>
                <w:color w:val="000000"/>
                <w:sz w:val="20"/>
              </w:rPr>
              <w:t>
2012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66"/>
        <w:gridCol w:w="1421"/>
        <w:gridCol w:w="1444"/>
        <w:gridCol w:w="1466"/>
        <w:gridCol w:w="1466"/>
        <w:gridCol w:w="1377"/>
        <w:gridCol w:w="1199"/>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r>
              <w:br/>
            </w:r>
            <w:r>
              <w:rPr>
                <w:rFonts w:ascii="Times New Roman"/>
                <w:b w:val="false"/>
                <w:i w:val="false"/>
                <w:color w:val="000000"/>
                <w:sz w:val="20"/>
              </w:rPr>
              <w:t>
2012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2012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r>
              <w:br/>
            </w:r>
            <w:r>
              <w:rPr>
                <w:rFonts w:ascii="Times New Roman"/>
                <w:b w:val="false"/>
                <w:i w:val="false"/>
                <w:color w:val="000000"/>
                <w:sz w:val="20"/>
              </w:rPr>
              <w:t>
2012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r>
              <w:br/>
            </w:r>
            <w:r>
              <w:rPr>
                <w:rFonts w:ascii="Times New Roman"/>
                <w:b w:val="false"/>
                <w:i w:val="false"/>
                <w:color w:val="000000"/>
                <w:sz w:val="20"/>
              </w:rPr>
              <w:t>
2012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r>
              <w:br/>
            </w:r>
            <w:r>
              <w:rPr>
                <w:rFonts w:ascii="Times New Roman"/>
                <w:b w:val="false"/>
                <w:i w:val="false"/>
                <w:color w:val="000000"/>
                <w:sz w:val="20"/>
              </w:rPr>
              <w:t>
2012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2012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2012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r>
              <w:br/>
            </w:r>
            <w:r>
              <w:rPr>
                <w:rFonts w:ascii="Times New Roman"/>
                <w:b w:val="false"/>
                <w:i w:val="false"/>
                <w:color w:val="000000"/>
                <w:sz w:val="20"/>
              </w:rPr>
              <w:t>
2012</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шақыру комиссияны өтпеген азаматтар үшін шақыру комиссиясының отырысы аптасына бір рет сәрсенбі күндері, күзгі шақыруда 2012 жылдың 30 желтоқсанға дейін өткізіледі.</w:t>
      </w:r>
    </w:p>
    <w:bookmarkStart w:name="z10" w:id="2"/>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26 наурыздағы № 93</w:t>
      </w:r>
      <w:r>
        <w:br/>
      </w:r>
      <w:r>
        <w:rPr>
          <w:rFonts w:ascii="Times New Roman"/>
          <w:b w:val="false"/>
          <w:i w:val="false"/>
          <w:color w:val="000000"/>
          <w:sz w:val="28"/>
        </w:rPr>
        <w:t>
қаулысымен</w:t>
      </w:r>
      <w:r>
        <w:br/>
      </w:r>
      <w:r>
        <w:rPr>
          <w:rFonts w:ascii="Times New Roman"/>
          <w:b w:val="false"/>
          <w:i w:val="false"/>
          <w:color w:val="000000"/>
          <w:sz w:val="28"/>
        </w:rPr>
        <w:t>
№ 2-қосымша</w:t>
      </w:r>
    </w:p>
    <w:bookmarkEnd w:id="2"/>
    <w:p>
      <w:pPr>
        <w:spacing w:after="0"/>
        <w:ind w:left="0"/>
        <w:jc w:val="left"/>
      </w:pPr>
      <w:r>
        <w:rPr>
          <w:rFonts w:ascii="Times New Roman"/>
          <w:b/>
          <w:i w:val="false"/>
          <w:color w:val="000000"/>
        </w:rPr>
        <w:t xml:space="preserve"> 2012 жылдың қазан-желтоқсанда азаматтарды әскери қызметке шақыруды өткiзу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459"/>
        <w:gridCol w:w="1012"/>
        <w:gridCol w:w="1059"/>
        <w:gridCol w:w="1035"/>
        <w:gridCol w:w="1083"/>
        <w:gridCol w:w="1036"/>
        <w:gridCol w:w="1036"/>
        <w:gridCol w:w="1107"/>
        <w:gridCol w:w="1156"/>
      </w:tblGrid>
      <w:tr>
        <w:trPr>
          <w:trHeight w:val="24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округінің</w:t>
            </w:r>
            <w:r>
              <w:br/>
            </w: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өту күндері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қазан-желтоқсан</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10.</w:t>
            </w:r>
            <w:r>
              <w:br/>
            </w:r>
            <w:r>
              <w:rPr>
                <w:rFonts w:ascii="Times New Roman"/>
                <w:b w:val="false"/>
                <w:i w:val="false"/>
                <w:color w:val="000000"/>
                <w:sz w:val="20"/>
              </w:rPr>
              <w:t>
2012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10.</w:t>
            </w:r>
            <w:r>
              <w:br/>
            </w:r>
            <w:r>
              <w:rPr>
                <w:rFonts w:ascii="Times New Roman"/>
                <w:b w:val="false"/>
                <w:i w:val="false"/>
                <w:color w:val="000000"/>
                <w:sz w:val="20"/>
              </w:rPr>
              <w:t>
2012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04.</w:t>
            </w:r>
            <w:r>
              <w:br/>
            </w:r>
            <w:r>
              <w:rPr>
                <w:rFonts w:ascii="Times New Roman"/>
                <w:b w:val="false"/>
                <w:i w:val="false"/>
                <w:color w:val="000000"/>
                <w:sz w:val="20"/>
              </w:rPr>
              <w:t>
2012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10.</w:t>
            </w:r>
            <w:r>
              <w:br/>
            </w:r>
            <w:r>
              <w:rPr>
                <w:rFonts w:ascii="Times New Roman"/>
                <w:b w:val="false"/>
                <w:i w:val="false"/>
                <w:color w:val="000000"/>
                <w:sz w:val="20"/>
              </w:rPr>
              <w:t>
2012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w:t>
            </w:r>
            <w:r>
              <w:br/>
            </w:r>
            <w:r>
              <w:rPr>
                <w:rFonts w:ascii="Times New Roman"/>
                <w:b w:val="false"/>
                <w:i w:val="false"/>
                <w:color w:val="000000"/>
                <w:sz w:val="20"/>
              </w:rPr>
              <w:t>
2012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w:t>
            </w:r>
            <w:r>
              <w:br/>
            </w:r>
            <w:r>
              <w:rPr>
                <w:rFonts w:ascii="Times New Roman"/>
                <w:b w:val="false"/>
                <w:i w:val="false"/>
                <w:color w:val="000000"/>
                <w:sz w:val="20"/>
              </w:rPr>
              <w:t>
2012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10.</w:t>
            </w:r>
            <w:r>
              <w:br/>
            </w:r>
            <w:r>
              <w:rPr>
                <w:rFonts w:ascii="Times New Roman"/>
                <w:b w:val="false"/>
                <w:i w:val="false"/>
                <w:color w:val="000000"/>
                <w:sz w:val="20"/>
              </w:rPr>
              <w:t>
2012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2012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029"/>
        <w:gridCol w:w="1391"/>
        <w:gridCol w:w="1007"/>
        <w:gridCol w:w="1436"/>
        <w:gridCol w:w="1436"/>
        <w:gridCol w:w="1391"/>
        <w:gridCol w:w="1436"/>
        <w:gridCol w:w="1370"/>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10.</w:t>
            </w:r>
            <w:r>
              <w:br/>
            </w:r>
            <w:r>
              <w:rPr>
                <w:rFonts w:ascii="Times New Roman"/>
                <w:b w:val="false"/>
                <w:i w:val="false"/>
                <w:color w:val="000000"/>
                <w:sz w:val="20"/>
              </w:rPr>
              <w:t>
2012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11.</w:t>
            </w:r>
            <w:r>
              <w:br/>
            </w:r>
            <w:r>
              <w:rPr>
                <w:rFonts w:ascii="Times New Roman"/>
                <w:b w:val="false"/>
                <w:i w:val="false"/>
                <w:color w:val="000000"/>
                <w:sz w:val="20"/>
              </w:rPr>
              <w:t>
2012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r>
              <w:br/>
            </w:r>
            <w:r>
              <w:rPr>
                <w:rFonts w:ascii="Times New Roman"/>
                <w:b w:val="false"/>
                <w:i w:val="false"/>
                <w:color w:val="000000"/>
                <w:sz w:val="20"/>
              </w:rPr>
              <w:t>
2012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11.</w:t>
            </w:r>
            <w:r>
              <w:br/>
            </w:r>
            <w:r>
              <w:rPr>
                <w:rFonts w:ascii="Times New Roman"/>
                <w:b w:val="false"/>
                <w:i w:val="false"/>
                <w:color w:val="000000"/>
                <w:sz w:val="20"/>
              </w:rPr>
              <w:t>
2012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r>
              <w:br/>
            </w:r>
            <w:r>
              <w:rPr>
                <w:rFonts w:ascii="Times New Roman"/>
                <w:b w:val="false"/>
                <w:i w:val="false"/>
                <w:color w:val="000000"/>
                <w:sz w:val="20"/>
              </w:rPr>
              <w:t>
2012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w:t>
            </w:r>
            <w:r>
              <w:br/>
            </w:r>
            <w:r>
              <w:rPr>
                <w:rFonts w:ascii="Times New Roman"/>
                <w:b w:val="false"/>
                <w:i w:val="false"/>
                <w:color w:val="000000"/>
                <w:sz w:val="20"/>
              </w:rPr>
              <w:t>
2012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r>
              <w:br/>
            </w:r>
            <w:r>
              <w:rPr>
                <w:rFonts w:ascii="Times New Roman"/>
                <w:b w:val="false"/>
                <w:i w:val="false"/>
                <w:color w:val="000000"/>
                <w:sz w:val="20"/>
              </w:rPr>
              <w:t>
2012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2012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r>
              <w:br/>
            </w:r>
            <w:r>
              <w:rPr>
                <w:rFonts w:ascii="Times New Roman"/>
                <w:b w:val="false"/>
                <w:i w:val="false"/>
                <w:color w:val="000000"/>
                <w:sz w:val="20"/>
              </w:rPr>
              <w:t>
2012</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шақыру комиссияны өтпеген азаматтар үшін шақыру комиссиясының отырысы аптасына бір рет сәрсенбі күндері, күзгі шақыруда 2012 жылдың 30 желтоқсанға дейін өткізіледі.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