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f010" w14:textId="49bf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"Зияткерлік меншік саласындағы мемлекеттік қызмет Регламенттерін бекіту туралы" Қазақстан Республикасы Әділет министрінің 2011 жылғы 27 маусымдағы № 239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2012 жылғы 28 қыркүйектегі № 327 Бұйрығы. Қазақстан Республикасының Әділет министрлігінде 2012 жылы 19 қазанда № 8035 тіркелді. Күші жойылды - Қазақстан Республикасы Әділет министрінің 2014 жылғы 27 ақпандағы № 85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Әділет министрінің 27.02.2014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 рет ресми жарияланған күнінен бастап он күнтізбелік күн өткеннен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туралы» Қазақстан Республикасының 2012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«Зияткерлік меншік саласындағы мемлекеттік қызмет Регламенттерін бекіту туралы» Қазақстан Республикасы Әділет министрінің 2011 жылғы 27 маусымдағы № 239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15 тамызда № 7133 болып тіркелген, 2012 жылғы 9 мамырдағы № 66 (2074), 2012 жылғы 11 мамырдағы № 67 (2075), 2012 жылғы 15 мамырдағы № 68 (2076) «Заң газеті», 2012 жылғы 15 мамырдағы № 236-241 (27315) «Егемен Қазақстан»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Қазақстан Республикасы Әділет министрлігінің Зияткерлік меншік құқығы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тіркелгеннен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Әділет министрлігінің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министрлігінің Зияткерлік меншік құқығы комитетінің төрағасы А.К. Естаевқа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aлғаш pecми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Имашев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