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61c5" w14:textId="1b06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28 маусымдағы № 239 Бұйрығы. Қазақстан Республикасының Әділет министрлігінде 2012 жылы 30 шілдеде № 7814 тіркелді. Күші жойылды - Қазақстан Республикасы Әділет министрінің 2016 жылғы 20 қаңтардағы № 22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20.01.2016 </w:t>
      </w:r>
      <w:r>
        <w:rPr>
          <w:rFonts w:ascii="Times New Roman"/>
          <w:b w:val="false"/>
          <w:i w:val="false"/>
          <w:color w:val="ff0000"/>
          <w:sz w:val="28"/>
        </w:rPr>
        <w:t>№ 22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406-бабының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 шаралар қабылдануын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Вице-министрі Д.Р.Құсдәулетовке және Қазақстан Республикасы Тіркеу қызметі және құқықтық көмек көрсету комитетінің төрағасы К.Т.Ноғайбековке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239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Аймаққа бөлу коэффициентін есептеу әдістемесі </w:t>
      </w:r>
    </w:p>
    <w:bookmarkEnd w:id="2"/>
    <w:bookmarkStart w:name="z10" w:id="3"/>
    <w:p>
      <w:pPr>
        <w:spacing w:after="0"/>
        <w:ind w:left="0"/>
        <w:jc w:val="left"/>
      </w:pPr>
      <w:r>
        <w:rPr>
          <w:rFonts w:ascii="Times New Roman"/>
          <w:b/>
          <w:i w:val="false"/>
          <w:color w:val="000000"/>
        </w:rPr>
        <w:t xml:space="preserve"> 
1. Жалпы ережелер </w:t>
      </w:r>
    </w:p>
    <w:bookmarkEnd w:id="3"/>
    <w:bookmarkStart w:name="z11" w:id="4"/>
    <w:p>
      <w:pPr>
        <w:spacing w:after="0"/>
        <w:ind w:left="0"/>
        <w:jc w:val="both"/>
      </w:pPr>
      <w:r>
        <w:rPr>
          <w:rFonts w:ascii="Times New Roman"/>
          <w:b w:val="false"/>
          <w:i w:val="false"/>
          <w:color w:val="000000"/>
          <w:sz w:val="28"/>
        </w:rPr>
        <w:t>
      1. Осы Аймаққа бөлу коэффициентін есептеу әдістемесі (әрі қарай - Әдістеме)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2000 жылғы 30 қарашадағы «Қазақстан Республикасындағы бағалау қызметі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Әділет министрінің м.о. 2011 жылғы 29 маусымдағы № 243 «Құнның қоры мен түрлері» бағалау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7114 болып тіркелген) сәйкес әзірленген.</w:t>
      </w:r>
      <w:r>
        <w:br/>
      </w:r>
      <w:r>
        <w:rPr>
          <w:rFonts w:ascii="Times New Roman"/>
          <w:b w:val="false"/>
          <w:i w:val="false"/>
          <w:color w:val="000000"/>
          <w:sz w:val="28"/>
        </w:rPr>
        <w:t>
</w:t>
      </w:r>
      <w:r>
        <w:rPr>
          <w:rFonts w:ascii="Times New Roman"/>
          <w:b w:val="false"/>
          <w:i w:val="false"/>
          <w:color w:val="000000"/>
          <w:sz w:val="28"/>
        </w:rPr>
        <w:t>
      2. Осы Әдістеме Қазақстан Республикасы Салық кодексінің </w:t>
      </w:r>
      <w:r>
        <w:rPr>
          <w:rFonts w:ascii="Times New Roman"/>
          <w:b w:val="false"/>
          <w:i w:val="false"/>
          <w:color w:val="000000"/>
          <w:sz w:val="28"/>
        </w:rPr>
        <w:t>406-бабына</w:t>
      </w:r>
      <w:r>
        <w:rPr>
          <w:rFonts w:ascii="Times New Roman"/>
          <w:b w:val="false"/>
          <w:i w:val="false"/>
          <w:color w:val="000000"/>
          <w:sz w:val="28"/>
        </w:rPr>
        <w:t xml:space="preserve"> сәйкес салық салу мақсатында кәсіпкерлік қызметте қолданылмайтын жеке тұлғалардың жылжымайтын мүлік объектілерінің құнын есептеу кезінде қолданылатын аймаққа бөлу коэффициентін есептеуді регламенттейді.</w:t>
      </w:r>
      <w:r>
        <w:br/>
      </w:r>
      <w:r>
        <w:rPr>
          <w:rFonts w:ascii="Times New Roman"/>
          <w:b w:val="false"/>
          <w:i w:val="false"/>
          <w:color w:val="000000"/>
          <w:sz w:val="28"/>
        </w:rPr>
        <w:t>
</w:t>
      </w:r>
      <w:r>
        <w:rPr>
          <w:rFonts w:ascii="Times New Roman"/>
          <w:b w:val="false"/>
          <w:i w:val="false"/>
          <w:color w:val="000000"/>
          <w:sz w:val="28"/>
        </w:rPr>
        <w:t>
      3. Осы Әдістемеде келесі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аймақтарға бөлу – жер аумағын оның нысаналы мақсаты мен пайдаланылу режимiн белгiлеумен анықтау;</w:t>
      </w:r>
      <w:r>
        <w:br/>
      </w:r>
      <w:r>
        <w:rPr>
          <w:rFonts w:ascii="Times New Roman"/>
          <w:b w:val="false"/>
          <w:i w:val="false"/>
          <w:color w:val="000000"/>
          <w:sz w:val="28"/>
        </w:rPr>
        <w:t>
</w:t>
      </w:r>
      <w:r>
        <w:rPr>
          <w:rFonts w:ascii="Times New Roman"/>
          <w:b w:val="false"/>
          <w:i w:val="false"/>
          <w:color w:val="000000"/>
          <w:sz w:val="28"/>
        </w:rPr>
        <w:t>
      аймаққа бөлу коэффициенті (К айм) – салық салу объектісінің елдiмекенде орналасуын есепке алатын коэффициент, жергіліктi атқарушы органмен келісу бойынша жылжымайтын мүлікке құқықтарды тіркеу саласындағы уәкілетті мемлекеттік органмен белгіленеді;</w:t>
      </w:r>
      <w:r>
        <w:br/>
      </w:r>
      <w:r>
        <w:rPr>
          <w:rFonts w:ascii="Times New Roman"/>
          <w:b w:val="false"/>
          <w:i w:val="false"/>
          <w:color w:val="000000"/>
          <w:sz w:val="28"/>
        </w:rPr>
        <w:t>
</w:t>
      </w:r>
      <w:r>
        <w:rPr>
          <w:rFonts w:ascii="Times New Roman"/>
          <w:b w:val="false"/>
          <w:i w:val="false"/>
          <w:color w:val="000000"/>
          <w:sz w:val="28"/>
        </w:rPr>
        <w:t>
      салық құны – Қазақстан Республикасының қолданыстағы салық заңнамасының негізінде есептелетін құн.</w:t>
      </w:r>
      <w:r>
        <w:br/>
      </w:r>
      <w:r>
        <w:rPr>
          <w:rFonts w:ascii="Times New Roman"/>
          <w:b w:val="false"/>
          <w:i w:val="false"/>
          <w:color w:val="000000"/>
          <w:sz w:val="28"/>
        </w:rPr>
        <w:t>
</w:t>
      </w:r>
      <w:r>
        <w:rPr>
          <w:rFonts w:ascii="Times New Roman"/>
          <w:b w:val="false"/>
          <w:i w:val="false"/>
          <w:color w:val="000000"/>
          <w:sz w:val="28"/>
        </w:rPr>
        <w:t>
      4. Аймаққа бөлу коэффициентін есептеу бірқатар өзара байланысты сабақтасқан әрекеттердің орындалуын көздейді:</w:t>
      </w:r>
      <w:r>
        <w:br/>
      </w:r>
      <w:r>
        <w:rPr>
          <w:rFonts w:ascii="Times New Roman"/>
          <w:b w:val="false"/>
          <w:i w:val="false"/>
          <w:color w:val="000000"/>
          <w:sz w:val="28"/>
        </w:rPr>
        <w:t>
</w:t>
      </w:r>
      <w:r>
        <w:rPr>
          <w:rFonts w:ascii="Times New Roman"/>
          <w:b w:val="false"/>
          <w:i w:val="false"/>
          <w:color w:val="000000"/>
          <w:sz w:val="28"/>
        </w:rPr>
        <w:t>
      қала, аудан, кент, село (ауыл) аумағын бағалау учаскелеріне бөлу немесе жерді жергілікті өкілетті органдармен бекітілген аймаққа бөлу сызбасын алу;</w:t>
      </w:r>
      <w:r>
        <w:br/>
      </w:r>
      <w:r>
        <w:rPr>
          <w:rFonts w:ascii="Times New Roman"/>
          <w:b w:val="false"/>
          <w:i w:val="false"/>
          <w:color w:val="000000"/>
          <w:sz w:val="28"/>
        </w:rPr>
        <w:t>
</w:t>
      </w:r>
      <w:r>
        <w:rPr>
          <w:rFonts w:ascii="Times New Roman"/>
          <w:b w:val="false"/>
          <w:i w:val="false"/>
          <w:color w:val="000000"/>
          <w:sz w:val="28"/>
        </w:rPr>
        <w:t>
      жылжымайтын мүлік құнын және аталған факторлардың сандық мағынасын қалыптастыратын факторлар құрамын белгілеу;</w:t>
      </w:r>
      <w:r>
        <w:br/>
      </w:r>
      <w:r>
        <w:rPr>
          <w:rFonts w:ascii="Times New Roman"/>
          <w:b w:val="false"/>
          <w:i w:val="false"/>
          <w:color w:val="000000"/>
          <w:sz w:val="28"/>
        </w:rPr>
        <w:t>
</w:t>
      </w:r>
      <w:r>
        <w:rPr>
          <w:rFonts w:ascii="Times New Roman"/>
          <w:b w:val="false"/>
          <w:i w:val="false"/>
          <w:color w:val="000000"/>
          <w:sz w:val="28"/>
        </w:rPr>
        <w:t>
      бағаланатын әрбір учаске үшін факторлар әсерін белгілеу, бағалау учаскесіне факторларды қолдану және соңғылардың шекарасын нақтылау;</w:t>
      </w:r>
      <w:r>
        <w:br/>
      </w:r>
      <w:r>
        <w:rPr>
          <w:rFonts w:ascii="Times New Roman"/>
          <w:b w:val="false"/>
          <w:i w:val="false"/>
          <w:color w:val="000000"/>
          <w:sz w:val="28"/>
        </w:rPr>
        <w:t>
</w:t>
      </w:r>
      <w:r>
        <w:rPr>
          <w:rFonts w:ascii="Times New Roman"/>
          <w:b w:val="false"/>
          <w:i w:val="false"/>
          <w:color w:val="000000"/>
          <w:sz w:val="28"/>
        </w:rPr>
        <w:t>
      әрбір бағаланатын учаске үшін аумақтың қатыстылық құндылық коэффициентін есептеу.</w:t>
      </w:r>
      <w:r>
        <w:br/>
      </w:r>
      <w:r>
        <w:rPr>
          <w:rFonts w:ascii="Times New Roman"/>
          <w:b w:val="false"/>
          <w:i w:val="false"/>
          <w:color w:val="000000"/>
          <w:sz w:val="28"/>
        </w:rPr>
        <w:t>
</w:t>
      </w:r>
      <w:r>
        <w:rPr>
          <w:rFonts w:ascii="Times New Roman"/>
          <w:b w:val="false"/>
          <w:i w:val="false"/>
          <w:color w:val="000000"/>
          <w:sz w:val="28"/>
        </w:rPr>
        <w:t>
      5. Аймаққа бөлу коэффициентін есептеу кезінде салық құнын анықтау үшін жылжымайтын мүлікке құқықтарды тіркеу саласында уәкілетті органның мұрағатындағы техникалық құжаттама материалдарын пайдалану керек, сондай-ақ пайдалануға рұқсат етіледі:</w:t>
      </w:r>
      <w:r>
        <w:br/>
      </w:r>
      <w:r>
        <w:rPr>
          <w:rFonts w:ascii="Times New Roman"/>
          <w:b w:val="false"/>
          <w:i w:val="false"/>
          <w:color w:val="000000"/>
          <w:sz w:val="28"/>
        </w:rPr>
        <w:t>
</w:t>
      </w:r>
      <w:r>
        <w:rPr>
          <w:rFonts w:ascii="Times New Roman"/>
          <w:b w:val="false"/>
          <w:i w:val="false"/>
          <w:color w:val="000000"/>
          <w:sz w:val="28"/>
        </w:rPr>
        <w:t>
      қаланың, елдімекеннің есептік тоқсандарының кадастрлық картасын;</w:t>
      </w:r>
      <w:r>
        <w:br/>
      </w:r>
      <w:r>
        <w:rPr>
          <w:rFonts w:ascii="Times New Roman"/>
          <w:b w:val="false"/>
          <w:i w:val="false"/>
          <w:color w:val="000000"/>
          <w:sz w:val="28"/>
        </w:rPr>
        <w:t>
</w:t>
      </w:r>
      <w:r>
        <w:rPr>
          <w:rFonts w:ascii="Times New Roman"/>
          <w:b w:val="false"/>
          <w:i w:val="false"/>
          <w:color w:val="000000"/>
          <w:sz w:val="28"/>
        </w:rPr>
        <w:t>
      мемлекеттік электрондық дерекқор мәліметтерін және өзге де материалдарды (құжаттарды);</w:t>
      </w:r>
      <w:r>
        <w:br/>
      </w:r>
      <w:r>
        <w:rPr>
          <w:rFonts w:ascii="Times New Roman"/>
          <w:b w:val="false"/>
          <w:i w:val="false"/>
          <w:color w:val="000000"/>
          <w:sz w:val="28"/>
        </w:rPr>
        <w:t>
</w:t>
      </w:r>
      <w:r>
        <w:rPr>
          <w:rFonts w:ascii="Times New Roman"/>
          <w:b w:val="false"/>
          <w:i w:val="false"/>
          <w:color w:val="000000"/>
          <w:sz w:val="28"/>
        </w:rPr>
        <w:t>
      қалалардың, аудандардың, кенттердің, селолардың (ауылдардың) жергілікті атқарушы органдарының жерді пайдалану, бағалау және салық салу мәселелері бойынша қаулыларын және шешімдерін.</w:t>
      </w:r>
    </w:p>
    <w:bookmarkEnd w:id="4"/>
    <w:bookmarkStart w:name="z26" w:id="5"/>
    <w:p>
      <w:pPr>
        <w:spacing w:after="0"/>
        <w:ind w:left="0"/>
        <w:jc w:val="left"/>
      </w:pPr>
      <w:r>
        <w:rPr>
          <w:rFonts w:ascii="Times New Roman"/>
          <w:b/>
          <w:i w:val="false"/>
          <w:color w:val="000000"/>
        </w:rPr>
        <w:t xml:space="preserve"> 
2. Жылжымайтын мүліктің қатыстылық құндылық факторларының</w:t>
      </w:r>
      <w:r>
        <w:br/>
      </w:r>
      <w:r>
        <w:rPr>
          <w:rFonts w:ascii="Times New Roman"/>
          <w:b/>
          <w:i w:val="false"/>
          <w:color w:val="000000"/>
        </w:rPr>
        <w:t>
және төменгі факторларының атауы  </w:t>
      </w:r>
    </w:p>
    <w:bookmarkEnd w:id="5"/>
    <w:bookmarkStart w:name="z27" w:id="6"/>
    <w:p>
      <w:pPr>
        <w:spacing w:after="0"/>
        <w:ind w:left="0"/>
        <w:jc w:val="both"/>
      </w:pPr>
      <w:r>
        <w:rPr>
          <w:rFonts w:ascii="Times New Roman"/>
          <w:b w:val="false"/>
          <w:i w:val="false"/>
          <w:color w:val="000000"/>
          <w:sz w:val="28"/>
        </w:rPr>
        <w:t>
      6. Бағалау учаскелеріне аумақтың қатыстылық құндылық факторы қолданылады. Бұл ретте келесі факторлардың ықпал етуі ескеріледі:</w:t>
      </w:r>
      <w:r>
        <w:br/>
      </w:r>
      <w:r>
        <w:rPr>
          <w:rFonts w:ascii="Times New Roman"/>
          <w:b w:val="false"/>
          <w:i w:val="false"/>
          <w:color w:val="000000"/>
          <w:sz w:val="28"/>
        </w:rPr>
        <w:t>
</w:t>
      </w:r>
      <w:r>
        <w:rPr>
          <w:rFonts w:ascii="Times New Roman"/>
          <w:b w:val="false"/>
          <w:i w:val="false"/>
          <w:color w:val="000000"/>
          <w:sz w:val="28"/>
        </w:rPr>
        <w:t xml:space="preserve">
      1) халықтың қала, аудан, кент, село (ауыл) орталығына, қалалық, аудандық маңызы бар қызмет көрсету объектілеріне қол жетімділігі; </w:t>
      </w:r>
      <w:r>
        <w:br/>
      </w:r>
      <w:r>
        <w:rPr>
          <w:rFonts w:ascii="Times New Roman"/>
          <w:b w:val="false"/>
          <w:i w:val="false"/>
          <w:color w:val="000000"/>
          <w:sz w:val="28"/>
        </w:rPr>
        <w:t>
</w:t>
      </w:r>
      <w:r>
        <w:rPr>
          <w:rFonts w:ascii="Times New Roman"/>
          <w:b w:val="false"/>
          <w:i w:val="false"/>
          <w:color w:val="000000"/>
          <w:sz w:val="28"/>
        </w:rPr>
        <w:t>
      2) орталықтандырылған инженерлік жабдықпен және аумақтың көркейтілуімен қамтамасыз етілуі, көліктік қол жетімділігі;</w:t>
      </w:r>
      <w:r>
        <w:br/>
      </w:r>
      <w:r>
        <w:rPr>
          <w:rFonts w:ascii="Times New Roman"/>
          <w:b w:val="false"/>
          <w:i w:val="false"/>
          <w:color w:val="000000"/>
          <w:sz w:val="28"/>
        </w:rPr>
        <w:t>
</w:t>
      </w:r>
      <w:r>
        <w:rPr>
          <w:rFonts w:ascii="Times New Roman"/>
          <w:b w:val="false"/>
          <w:i w:val="false"/>
          <w:color w:val="000000"/>
          <w:sz w:val="28"/>
        </w:rPr>
        <w:t>
      3) аймақтың және өзге де жергілікті маңыздағы жоспарлы бірлік шегінде халыққа мәдени-тұрмыстық қызмет көрсету саласының даму деңгейі;</w:t>
      </w:r>
      <w:r>
        <w:br/>
      </w:r>
      <w:r>
        <w:rPr>
          <w:rFonts w:ascii="Times New Roman"/>
          <w:b w:val="false"/>
          <w:i w:val="false"/>
          <w:color w:val="000000"/>
          <w:sz w:val="28"/>
        </w:rPr>
        <w:t>
</w:t>
      </w:r>
      <w:r>
        <w:rPr>
          <w:rFonts w:ascii="Times New Roman"/>
          <w:b w:val="false"/>
          <w:i w:val="false"/>
          <w:color w:val="000000"/>
          <w:sz w:val="28"/>
        </w:rPr>
        <w:t xml:space="preserve">
      4) ерекше құқықтық мәртебесі бар аймақтардың болуы; </w:t>
      </w:r>
      <w:r>
        <w:br/>
      </w:r>
      <w:r>
        <w:rPr>
          <w:rFonts w:ascii="Times New Roman"/>
          <w:b w:val="false"/>
          <w:i w:val="false"/>
          <w:color w:val="000000"/>
          <w:sz w:val="28"/>
        </w:rPr>
        <w:t>
</w:t>
      </w:r>
      <w:r>
        <w:rPr>
          <w:rFonts w:ascii="Times New Roman"/>
          <w:b w:val="false"/>
          <w:i w:val="false"/>
          <w:color w:val="000000"/>
          <w:sz w:val="28"/>
        </w:rPr>
        <w:t>
      5) қоршаған ортаның жай-күйі, санитарлық және микроклиматтық жағдайы;</w:t>
      </w:r>
      <w:r>
        <w:br/>
      </w:r>
      <w:r>
        <w:rPr>
          <w:rFonts w:ascii="Times New Roman"/>
          <w:b w:val="false"/>
          <w:i w:val="false"/>
          <w:color w:val="000000"/>
          <w:sz w:val="28"/>
        </w:rPr>
        <w:t>
</w:t>
      </w:r>
      <w:r>
        <w:rPr>
          <w:rFonts w:ascii="Times New Roman"/>
          <w:b w:val="false"/>
          <w:i w:val="false"/>
          <w:color w:val="000000"/>
          <w:sz w:val="28"/>
        </w:rPr>
        <w:t>
      6) құрылыстың инженерлік-геологиялық жағдайлары және табиғи немесе өзге де талқандаушылық әсерлерге душар болу дәрежесі.</w:t>
      </w:r>
      <w:r>
        <w:br/>
      </w:r>
      <w:r>
        <w:rPr>
          <w:rFonts w:ascii="Times New Roman"/>
          <w:b w:val="false"/>
          <w:i w:val="false"/>
          <w:color w:val="000000"/>
          <w:sz w:val="28"/>
        </w:rPr>
        <w:t>
</w:t>
      </w:r>
      <w:r>
        <w:rPr>
          <w:rFonts w:ascii="Times New Roman"/>
          <w:b w:val="false"/>
          <w:i w:val="false"/>
          <w:color w:val="000000"/>
          <w:sz w:val="28"/>
        </w:rPr>
        <w:t>
      7. Аталған факторлардың әрбір тобы жеткілікті көптеген ақпаратқа ие болады. Аймаққа бөлу коэффициентінен оның жылжымайтын мүлік (халық тұратын аумақты) объектілерінің құндылығына әсерін аса негізді анықтау мақсатында бірлі-жарым төменгі факторлар бөлініп шығады. Жылжымайтын мүліктің қатыстылық құндылығының топтары, факторлары мен төменгі факторлары және олардың мәні осы Әдістеменің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8. Бірінші топ факторларының әсері қала және қала маңындағы жолаушылар көлігі аялдамасының орындарына және қала мен аудан орталықтарына, оның ішінде қалалық және аудандық қоғамдық орталықтармен құрылған қызметтерді орналастыру орындарына жаяу қол жетімділікпен анықталады.</w:t>
      </w:r>
      <w:r>
        <w:br/>
      </w:r>
      <w:r>
        <w:rPr>
          <w:rFonts w:ascii="Times New Roman"/>
          <w:b w:val="false"/>
          <w:i w:val="false"/>
          <w:color w:val="000000"/>
          <w:sz w:val="28"/>
        </w:rPr>
        <w:t>
</w:t>
      </w:r>
      <w:r>
        <w:rPr>
          <w:rFonts w:ascii="Times New Roman"/>
          <w:b w:val="false"/>
          <w:i w:val="false"/>
          <w:color w:val="000000"/>
          <w:sz w:val="28"/>
        </w:rPr>
        <w:t xml:space="preserve">
      Екінші топ коэффициентінің факторлары мен төменгі факторларының маңызы қала, аудан, кент, село (ауыл) аумағының инженерлік жабдыққа (түрлері бойынша) шыққан шығындардың үлес салмағына сәйкес, сондай-ақ қоғамдық көлікпен қамтамасыз етілуді ескерумен қабылданады. </w:t>
      </w:r>
      <w:r>
        <w:br/>
      </w:r>
      <w:r>
        <w:rPr>
          <w:rFonts w:ascii="Times New Roman"/>
          <w:b w:val="false"/>
          <w:i w:val="false"/>
          <w:color w:val="000000"/>
          <w:sz w:val="28"/>
        </w:rPr>
        <w:t>
</w:t>
      </w:r>
      <w:r>
        <w:rPr>
          <w:rFonts w:ascii="Times New Roman"/>
          <w:b w:val="false"/>
          <w:i w:val="false"/>
          <w:color w:val="000000"/>
          <w:sz w:val="28"/>
        </w:rPr>
        <w:t>
      Үшінші топ коэффициентінің факторлары мен төменгі факторлары, екінші топ сияқты, яғни тұрғын үй құрылысының жалпы шығындарының құрамындағы күнделікті қолданылатын мәдени-тұрмыстық қызмет көрсету мекемелерінің жеке түрлеріне шыққан шығындардың үлес салмағынан есептеледі.</w:t>
      </w:r>
      <w:r>
        <w:br/>
      </w:r>
      <w:r>
        <w:rPr>
          <w:rFonts w:ascii="Times New Roman"/>
          <w:b w:val="false"/>
          <w:i w:val="false"/>
          <w:color w:val="000000"/>
          <w:sz w:val="28"/>
        </w:rPr>
        <w:t>
</w:t>
      </w:r>
      <w:r>
        <w:rPr>
          <w:rFonts w:ascii="Times New Roman"/>
          <w:b w:val="false"/>
          <w:i w:val="false"/>
          <w:color w:val="000000"/>
          <w:sz w:val="28"/>
        </w:rPr>
        <w:t>
      Төртінші топ коэффициенті келесі </w:t>
      </w:r>
      <w:r>
        <w:rPr>
          <w:rFonts w:ascii="Times New Roman"/>
          <w:b w:val="false"/>
          <w:i w:val="false"/>
          <w:color w:val="000000"/>
          <w:sz w:val="28"/>
        </w:rPr>
        <w:t>бағалау аймақтарына</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қорық аумағына немесе табиғатты қорғау, сауықтандыру, рекреациялық </w:t>
      </w:r>
      <w:r>
        <w:rPr>
          <w:rFonts w:ascii="Times New Roman"/>
          <w:b w:val="false"/>
          <w:i w:val="false"/>
          <w:color w:val="000000"/>
          <w:sz w:val="28"/>
        </w:rPr>
        <w:t>маңызы бар аумақтарға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салыну құқықтары шектелген аймақтар шегінде және сәулет, тарихи, эстетикалық құндылықтарды құрайтын аумақтарға;</w:t>
      </w:r>
      <w:r>
        <w:br/>
      </w:r>
      <w:r>
        <w:rPr>
          <w:rFonts w:ascii="Times New Roman"/>
          <w:b w:val="false"/>
          <w:i w:val="false"/>
          <w:color w:val="000000"/>
          <w:sz w:val="28"/>
        </w:rPr>
        <w:t>
</w:t>
      </w:r>
      <w:r>
        <w:rPr>
          <w:rFonts w:ascii="Times New Roman"/>
          <w:b w:val="false"/>
          <w:i w:val="false"/>
          <w:color w:val="000000"/>
          <w:sz w:val="28"/>
        </w:rPr>
        <w:t>
      ландшафтты құндылықты құрайтын су объектілері, орман алабы және жасыл желектендірілген қоғамдық пайдалану аумақтарына.</w:t>
      </w:r>
      <w:r>
        <w:br/>
      </w:r>
      <w:r>
        <w:rPr>
          <w:rFonts w:ascii="Times New Roman"/>
          <w:b w:val="false"/>
          <w:i w:val="false"/>
          <w:color w:val="000000"/>
          <w:sz w:val="28"/>
        </w:rPr>
        <w:t>
</w:t>
      </w:r>
      <w:r>
        <w:rPr>
          <w:rFonts w:ascii="Times New Roman"/>
          <w:b w:val="false"/>
          <w:i w:val="false"/>
          <w:color w:val="000000"/>
          <w:sz w:val="28"/>
        </w:rPr>
        <w:t>
      Коэффициенттер осындай құндылықтар бар елдімекен учаскелеріне ғана қолданылады.</w:t>
      </w:r>
      <w:r>
        <w:br/>
      </w:r>
      <w:r>
        <w:rPr>
          <w:rFonts w:ascii="Times New Roman"/>
          <w:b w:val="false"/>
          <w:i w:val="false"/>
          <w:color w:val="000000"/>
          <w:sz w:val="28"/>
        </w:rPr>
        <w:t>
</w:t>
      </w:r>
      <w:r>
        <w:rPr>
          <w:rFonts w:ascii="Times New Roman"/>
          <w:b w:val="false"/>
          <w:i w:val="false"/>
          <w:color w:val="000000"/>
          <w:sz w:val="28"/>
        </w:rPr>
        <w:t>
      Бесінші және алтыншы топтардың факторлары мен төменгі факторлары коэффициенттерінің маңызы антропогендік үдерістердің, қоршаған орта жағдайының, санитарлық, микроклиматтық, инженерлік-геологиялық жағдайлардың, табиғи және өзге де талқандаушы әсерге душар болу дәрежесінің жағымсыз әсерінің факторлары ретінде анықталады. </w:t>
      </w:r>
    </w:p>
    <w:bookmarkEnd w:id="6"/>
    <w:bookmarkStart w:name="z44" w:id="7"/>
    <w:p>
      <w:pPr>
        <w:spacing w:after="0"/>
        <w:ind w:left="0"/>
        <w:jc w:val="left"/>
      </w:pPr>
      <w:r>
        <w:rPr>
          <w:rFonts w:ascii="Times New Roman"/>
          <w:b/>
          <w:i w:val="false"/>
          <w:color w:val="000000"/>
        </w:rPr>
        <w:t xml:space="preserve"> 
3. Аймаққа бөлу коэффициенттерін есептеу</w:t>
      </w:r>
    </w:p>
    <w:bookmarkEnd w:id="7"/>
    <w:bookmarkStart w:name="z45" w:id="8"/>
    <w:p>
      <w:pPr>
        <w:spacing w:after="0"/>
        <w:ind w:left="0"/>
        <w:jc w:val="both"/>
      </w:pPr>
      <w:r>
        <w:rPr>
          <w:rFonts w:ascii="Times New Roman"/>
          <w:b w:val="false"/>
          <w:i w:val="false"/>
          <w:color w:val="000000"/>
          <w:sz w:val="28"/>
        </w:rPr>
        <w:t>
      9. Факторларды және төменгі факторларды қолдану нәтижесінде бағалау учаскелерінің шекаралары түзетіледі. Алынған ақпараттың негізінде оның аумағында әрекет ететін әрбір фактордың маңызын бағалау аймағына беру үшін санамаланған әрбір факторды сипаттау орындалады.</w:t>
      </w:r>
      <w:r>
        <w:br/>
      </w:r>
      <w:r>
        <w:rPr>
          <w:rFonts w:ascii="Times New Roman"/>
          <w:b w:val="false"/>
          <w:i w:val="false"/>
          <w:color w:val="000000"/>
          <w:sz w:val="28"/>
        </w:rPr>
        <w:t>
</w:t>
      </w:r>
      <w:r>
        <w:rPr>
          <w:rFonts w:ascii="Times New Roman"/>
          <w:b w:val="false"/>
          <w:i w:val="false"/>
          <w:color w:val="000000"/>
          <w:sz w:val="28"/>
        </w:rPr>
        <w:t>
      Әрбір бағалау аймағы бойынша жылжымайтын мүліктің қатыстылық құндылығының аймақтау коэффициенті есептеледі және келесі формула бойынша анықталады:</w:t>
      </w:r>
      <w:r>
        <w:br/>
      </w:r>
      <w:r>
        <w:rPr>
          <w:rFonts w:ascii="Times New Roman"/>
          <w:b w:val="false"/>
          <w:i w:val="false"/>
          <w:color w:val="000000"/>
          <w:sz w:val="28"/>
        </w:rPr>
        <w:t>
      </w:t>
      </w:r>
      <w:r>
        <w:rPr>
          <w:rFonts w:ascii="Times New Roman"/>
          <w:b/>
          <w:i w:val="false"/>
          <w:color w:val="000000"/>
          <w:sz w:val="28"/>
        </w:rPr>
        <w:t>Кайм=К1+К2+К3+К4-К5-К6,</w:t>
      </w:r>
      <w:r>
        <w:rPr>
          <w:rFonts w:ascii="Times New Roman"/>
          <w:b w:val="false"/>
          <w:i w:val="false"/>
          <w:color w:val="000000"/>
          <w:sz w:val="28"/>
        </w:rPr>
        <w:t> </w:t>
      </w:r>
      <w:r>
        <w:br/>
      </w:r>
      <w:r>
        <w:rPr>
          <w:rFonts w:ascii="Times New Roman"/>
          <w:b w:val="false"/>
          <w:i w:val="false"/>
          <w:color w:val="000000"/>
          <w:sz w:val="28"/>
        </w:rPr>
        <w:t>
      ондағы:</w:t>
      </w:r>
      <w:r>
        <w:br/>
      </w:r>
      <w:r>
        <w:rPr>
          <w:rFonts w:ascii="Times New Roman"/>
          <w:b w:val="false"/>
          <w:i w:val="false"/>
          <w:color w:val="000000"/>
          <w:sz w:val="28"/>
        </w:rPr>
        <w:t>
      </w:t>
      </w:r>
      <w:r>
        <w:rPr>
          <w:rFonts w:ascii="Times New Roman"/>
          <w:b/>
          <w:i w:val="false"/>
          <w:color w:val="000000"/>
          <w:sz w:val="28"/>
        </w:rPr>
        <w:t>К1, К2, К3, К4</w:t>
      </w:r>
      <w:r>
        <w:rPr>
          <w:rFonts w:ascii="Times New Roman"/>
          <w:b w:val="false"/>
          <w:i w:val="false"/>
          <w:color w:val="000000"/>
          <w:sz w:val="28"/>
        </w:rPr>
        <w:t xml:space="preserve"> – жоғары әсердегі маңыздар тобы;</w:t>
      </w:r>
      <w:r>
        <w:br/>
      </w:r>
      <w:r>
        <w:rPr>
          <w:rFonts w:ascii="Times New Roman"/>
          <w:b w:val="false"/>
          <w:i w:val="false"/>
          <w:color w:val="000000"/>
          <w:sz w:val="28"/>
        </w:rPr>
        <w:t>
      </w:t>
      </w:r>
      <w:r>
        <w:rPr>
          <w:rFonts w:ascii="Times New Roman"/>
          <w:b/>
          <w:i w:val="false"/>
          <w:color w:val="000000"/>
          <w:sz w:val="28"/>
        </w:rPr>
        <w:t>К5; К6</w:t>
      </w:r>
      <w:r>
        <w:rPr>
          <w:rFonts w:ascii="Times New Roman"/>
          <w:b w:val="false"/>
          <w:i w:val="false"/>
          <w:color w:val="000000"/>
          <w:sz w:val="28"/>
        </w:rPr>
        <w:t xml:space="preserve"> - төменгі әсердегі маңыздар тобы.</w:t>
      </w:r>
    </w:p>
    <w:bookmarkEnd w:id="8"/>
    <w:bookmarkStart w:name="z47" w:id="9"/>
    <w:p>
      <w:pPr>
        <w:spacing w:after="0"/>
        <w:ind w:left="0"/>
        <w:jc w:val="both"/>
      </w:pPr>
      <w:r>
        <w:rPr>
          <w:rFonts w:ascii="Times New Roman"/>
          <w:b w:val="false"/>
          <w:i w:val="false"/>
          <w:color w:val="000000"/>
          <w:sz w:val="28"/>
        </w:rPr>
        <w:t xml:space="preserve">
Аймаққа бөлу коэффицентін </w:t>
      </w:r>
      <w:r>
        <w:br/>
      </w:r>
      <w:r>
        <w:rPr>
          <w:rFonts w:ascii="Times New Roman"/>
          <w:b w:val="false"/>
          <w:i w:val="false"/>
          <w:color w:val="000000"/>
          <w:sz w:val="28"/>
        </w:rPr>
        <w:t>
есептеу әдістемесіне Қосымша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364"/>
        <w:gridCol w:w="1956"/>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(К)</w:t>
            </w:r>
            <w:r>
              <w:br/>
            </w:r>
            <w:r>
              <w:rPr>
                <w:rFonts w:ascii="Times New Roman"/>
                <w:b w:val="false"/>
                <w:i w:val="false"/>
                <w:color w:val="000000"/>
                <w:sz w:val="20"/>
              </w:rPr>
              <w:t>
№</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қатыстылық </w:t>
            </w:r>
            <w:r>
              <w:br/>
            </w:r>
            <w:r>
              <w:rPr>
                <w:rFonts w:ascii="Times New Roman"/>
                <w:b w:val="false"/>
                <w:i w:val="false"/>
                <w:color w:val="000000"/>
                <w:sz w:val="20"/>
              </w:rPr>
              <w:t>
құндылығының факторлары мен төменгі факторларының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p>
        </w:tc>
      </w:tr>
      <w:tr>
        <w:trPr>
          <w:trHeight w:val="10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қоғамдық орталыққа, жалпықалалық, аудандық қызмет көрсету объектілеріне қол жетімділігі.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0,80-1,20 </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инженерлік жабдықпен және аумақтың көркейтілуімен қамтамасыз етілгендігі, көліктік қол жетімділігі: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0,05-0,10</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5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жолдардың қатты жабыны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5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қалалық және қала маңындағы жолаушы көліктерінің аялдамаларына қол жетімділік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мәдени-тұрмыстық қызмет көрсету саласының даму деңгейі мыналар болғанда: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0,10-0,15</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балаларға арналған мекемелер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сауда, қоғамдық тамақтану және тұрмыстық қызмет көрсету кәсіпорындары: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мәдениет, өнер, спорт мекемелері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құқықтық мәртебесі бар аймақтардың болуы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8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 санитарлық және микроклиматтық жағдайлары (минус) төмен коэффициентпен ескеріледі: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хауызының ластануы, жоғары газдандырылу, түтіндендірілу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9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Аумақтың ластануы: қоқыс тастайтын жерлердің болуы, өндірістік қалдықтар үйінділері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w:t>
            </w:r>
          </w:p>
        </w:tc>
      </w:tr>
      <w:tr>
        <w:trPr>
          <w:trHeight w:val="5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объектісінің ластануы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2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режимінің бұзылуы: теміржол, трамвай жолдарының болуы, жолаушы вокзалдарының, айлақтардың, базарлардың болуы, үлкен жүк көлігінің және автокөлікке толы жылдам жүру трассасының болуы (бағалау объектісінен 50 м аспайтын қашықтықта болуы), әуежелілері (бағалау объектісінен 1000 м аспайтын қашықтықта болуы)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инженерлік-геологиялық жағдайлары мен табиғи және өзге де талқандаушы әсерлерге душар болу дәрежесі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өрістердің, радиацияның кері әсері (радиостанциялар, радиотелевизиялық берілетін және радиолокациялық бекеттер, электр беру желілерінің жоғарывольтты әуе желілері)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8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 батпақты жер, жер асты суларының жоғары жағдайы, сейсмикалылығы, сел және өзге де табиғи факторлар.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