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1f43" w14:textId="587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(сырадан басқа) өндірушілерге этил спиртін сату ережелері туралы" Қазақстан Республикасы Мемлекеттік кіріс министрлігі Акцизделетін өнімдерді өндіруді және олардың айналымын мемлекеттік бақылау жасау жөніндегі комитеті Төрағасының 2001 жылғы 31 наурыздағы № 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15 шілдедегі № 370 Бұйрығы. Қазақстан Республикасының Әділет министрлігінде 2011 жылы 12 тамызда № 7119 тіркелді.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«Алкоголь өнімін (сырадан басқа) өндірушілерге этил спиртін сату ережелері туралы» Қазақстан Республикасы Мемлекеттік кіріс министрлігі-Акцизделетін өнімдерді өндіруді және олардың айналымын мемлекеттік бақылау жасау жөніндегі комитеті Төрағасының 2001 жылғы 31 наурыздағы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1496 болып тіркелген)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Алкоголь өнімін (сырадан басқа) өндірушілерге этил спиртін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«10. Жеткізуші этил спиртін сатуды акциздік қосын қызметкерлерінің қатысуымен ғана жүзеге асыруы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келесі редакцияда мазмұндалсын:</w:t>
      </w:r>
      <w:r>
        <w:br/>
      </w:r>
      <w:r>
        <w:rPr>
          <w:rFonts w:ascii="Times New Roman"/>
          <w:b w:val="false"/>
          <w:i w:val="false"/>
          <w:color w:val="000000"/>
          <w:sz w:val="28"/>
        </w:rPr>
        <w:t>
      «11. Этил спиртін теміржол цистернасымен сату уәкілетті тұлғаның төлқұжаты мен этил спиртін босату туралы Жеткізуші басшысының немесе бірінші басшы міндетін атқарушы тұлғаның өкімі жазылған жалпы белгіленген сенімхат акциздік қосынның қызметкеріне көрсетілгеннен кейін жүзеге асырылуы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«12. Акциздік қосынның қызметкері Жеткізуші мен Алушының хабарламаларында көрсетілген мәліметтердің осы Ережелердің 4-тармағына сәйкес Алушы тапсырған мәліметтерге өзара сәйкестігін, сондай-ақ автоцистернаның метрологиялық салыстырып тексеру актісін (этил спиртінің құбырмен тасымалдануынан басқа жағдайларда) тексеруі керек және олар сәйкес келген жағдайда этил спиртін сатуға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«17. Этил спирті сақталатын спирт қоймасы резервуарларының қол жететін жерлері күн сайын сағат 17-ден таңғы сағат 10-ға дейін, сондай-ақ сенбі, жексенбі және мереке күндері жабылып, оны акциздік қосынның қызметкері Жеткізуші қызметкерінің қатысуымен пломбалауы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«22. Жеткізуші және Алушы этил спиртін сатуға тыйым салу туралы шешімге байланысты Басқарма және акциздік қосынның әрекетіне Комитетке немесе сот органдарына шағым жасауға құқылы.».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