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8d4d" w14:textId="f6e8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көтерме және бөлшек саудада өткізу ережесін бекіту туралы"  Қазақстан Республикасы Денсаулық сақтау министрі м.а. 2009 жылғы 16 қарашадағы № 711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8 маусымдағы № 368 Бұйрығы. Қазақстан Республикасының Әділет министрлігінде 2011 жылы 16 маусымда № 7016 тіркелді.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Еуразиялық экономикалық қоғамдастықтың Мемлекетаралық Кеңесінің (Кеден одағының жоғарғы органы) 2011 жылғы 19 мамырдағы № 81 шешіміне, сондай-ақ «Кеден одағының сыртқы шекарасына мемлекеттік бақылаудың келісілген түрлерін көшіру бойынша жоспарларды орындау туралы» Кеден одағы Комиссиясының 2011 жылғы 19 мамырдағы № 644 шешіміне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көтерме және бөлшек саудада өткізу ережесін бекіту туралы» Қазақстан Республикасы Денсаулық сақтау министрі м.а. 2009 жылғы 16 қарашадағы № 711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2009 жылғы 20 қарашада № 5920 тіркелген, Қазақстан Республикасы орталық атқарушы және өзге де орталық мемлекеттік органдарының актілер жинағы, 2010 жыл № 4; Қазақстан Республикасы нормативтік құқықтық актілер Бюллетені 2010 жылғы қыркүйек, № 9, 382-құжатта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Дәрілік заттарды, медициналық мақсаттағы бұйымдарды және медициналық техниканы көтерме және бөлшек саудада өткізу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«16-1. Беларусь Республикасы және Ресей Федерациясы аумақтарында сату үшін емес Кеден одағының Бірыңғай кедендік тарифінің мөлшерлерінен өзгеше кедендік баж мөлшерлері бойынша үшінші  елдерден Қазақстан Республикасына келетін импорттық фармацевтикалық өнімді көтерме саудада өткізу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(Бейсен Н.Е.) осы бұйрықты заңнама белгілеген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(Таласпаева А.С.) осы бұйрықты мемлекеттік тіркегеннен кейін оның заңнама белгілеген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он күнтізбектік күн өткеннен кейін күшіне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министрінің міндетін атқарушы                     С. Мусинов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