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3777" w14:textId="7a33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түзеу мекемелерiндегi сотталғандармен тәрбие жұмысын ұйымдастыру жөнiндегi нұсқаулықты бекіту туралы" Қазақстан Республикасы Әділет министрінің 2004 жылғы 21 қазандағы N 305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25 ақпандағы N 67 Бұйрығы. Қазақстан Республикасы Әділет министрлігінде 2010 жылғы 12 наурызда Нормативтік құқықтық кесімдерді мемлекеттік тіркеудің тізіліміне N 6125 болып енгізілді. Күші жойылды - Қазақстан Республикасы Ішкі істер министрінің 2012 жылғы 30 наурыздағы № 184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2012.03.30 </w:t>
      </w:r>
      <w:r>
        <w:rPr>
          <w:rFonts w:ascii="Times New Roman"/>
          <w:b w:val="false"/>
          <w:i w:val="false"/>
          <w:color w:val="ff0000"/>
          <w:sz w:val="28"/>
        </w:rPr>
        <w:t>№ 184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2009 жылғы 10 желтоқсандағы «Қазақстан Республикасының кейбiр заңнамалық актiлерiне қылмыстық жазалауды орындау жүйесiн және қылмыстық-атқару жүйесін одан әрі жетілдіру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«Әділет органдары туралы»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түзеу мекемелеріндегі сотталғандармен тәрбие жұмысын ұйымдастыру жөніндегі нұсқаулықты бекіту туралы» Қазақстан Республикасы Әділет министрінің 2004 жылғы 21 қазандағы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Қазақстан Республикасы Әділет министрлігінің түзеу мекемелеріндегі сотталғандармен тәрбие жұмысын ұйымдастыру жөніндегі </w:t>
      </w:r>
      <w:r>
        <w:rPr>
          <w:rFonts w:ascii="Times New Roman"/>
          <w:b w:val="false"/>
          <w:i w:val="false"/>
          <w:color w:val="000000"/>
          <w:sz w:val="28"/>
        </w:rPr>
        <w:t>Нұсқаулығында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«110. ТМ-нiң комиссиясы келесі мәселелер бойынша тиісінше шешімдер шығарады және енгiзедi:»;</w:t>
      </w:r>
      <w:r>
        <w:br/>
      </w:r>
      <w:r>
        <w:rPr>
          <w:rFonts w:ascii="Times New Roman"/>
          <w:b w:val="false"/>
          <w:i w:val="false"/>
          <w:color w:val="000000"/>
          <w:sz w:val="28"/>
        </w:rPr>
        <w:t>
      110-тармағының 2) тармақшасында:</w:t>
      </w:r>
      <w:r>
        <w:br/>
      </w:r>
      <w:r>
        <w:rPr>
          <w:rFonts w:ascii="Times New Roman"/>
          <w:b w:val="false"/>
          <w:i w:val="false"/>
          <w:color w:val="000000"/>
          <w:sz w:val="28"/>
        </w:rPr>
        <w:t>
      «қолдануды» деген сөз «қолдану туралы қолдаухат»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113-тармағында</w:t>
      </w:r>
      <w:r>
        <w:rPr>
          <w:rFonts w:ascii="Times New Roman"/>
          <w:b w:val="false"/>
          <w:i w:val="false"/>
          <w:color w:val="000000"/>
          <w:sz w:val="28"/>
        </w:rPr>
        <w:t>:</w:t>
      </w:r>
      <w:r>
        <w:br/>
      </w:r>
      <w:r>
        <w:rPr>
          <w:rFonts w:ascii="Times New Roman"/>
          <w:b w:val="false"/>
          <w:i w:val="false"/>
          <w:color w:val="000000"/>
          <w:sz w:val="28"/>
        </w:rPr>
        <w:t>
      «ТМ-нiң комиссиясына ұсынуға» деген сөздер «ТМ-нiң комиссиясында қаралуға»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114-тармағының</w:t>
      </w:r>
      <w:r>
        <w:rPr>
          <w:rFonts w:ascii="Times New Roman"/>
          <w:b w:val="false"/>
          <w:i w:val="false"/>
          <w:color w:val="000000"/>
          <w:sz w:val="28"/>
        </w:rPr>
        <w:t xml:space="preserve"> 1) тармақшасында:</w:t>
      </w:r>
      <w:r>
        <w:br/>
      </w:r>
      <w:r>
        <w:rPr>
          <w:rFonts w:ascii="Times New Roman"/>
          <w:b w:val="false"/>
          <w:i w:val="false"/>
          <w:color w:val="000000"/>
          <w:sz w:val="28"/>
        </w:rPr>
        <w:t>
      «ұсыным» деген сөз «қолдаухат»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«117. Шартты түрде - мерзiмiнен бұрын босату жазаның өтелмеген бөлiгiн жеңіл жазамен ауыстырылуын немесе одан бас тарту, сондай-ақ ТМ түрiн ауыстыру немесе бас тарту туралы қаулыны шығару ойын ұсыну мүмкiншiлiгi туралы комиссия мүшелері комиссия отырысында сотталған болмаған кезінде ашық дауыс беру арқылы бiлдiредi. Шешiм егер ол үшiн комиссия мүшелерiнiң жартысынан көбi дауыс берсе қабылданды деп есептеледi. Төрағаның дауысы комиссияның бір мүшесінің дауысына теңестіріледі.»;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«118. Шартты түрде-мерзiмiнен бұрын босату, жазаның өтелмеген бөлiгiн жеңiл жазамен ауыстыру туралы немесе одан бас тарту туралы, сонымен қатар ТМ түрiн өзгерту немесе бас тарту туралы қаулыны шығару туралы комиссия шешiмдi сотталғанға комиссияның отырысында оның мүшелерінің қатынасуымен, аталған нұсқаулықтың 119-тармағымен айқындалған тәртіп бойынша қолдаухатпен немесе қаулымен кейінгі кезде таныстырумен ауызша түрде комиссияның төрағасымен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«119. Шартты түрде-мерзiмiнен бұрын босату, жазаның өтелмеген бөлiгiн жеңiл жазамен ауыстыру туралы немесе одан бас тарту туралы, сонымен қатар ТМ түрiн өзгерту немесе бас тарту туралы қаулымен комиссия хатшысы ТМ комиссиясының отырысынан кейiнгi бiр күннен кешiктiрмей қол қою арқылы таныстыруы керек (демалыс және мерекелiк күндердi қоспағанда). Өтінішті одан әрі сотқа енгізу үшін 7 күн ішінде прокуратураға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120-тармағында</w:t>
      </w:r>
      <w:r>
        <w:rPr>
          <w:rFonts w:ascii="Times New Roman"/>
          <w:b w:val="false"/>
          <w:i w:val="false"/>
          <w:color w:val="000000"/>
          <w:sz w:val="28"/>
        </w:rPr>
        <w:t>:</w:t>
      </w:r>
      <w:r>
        <w:br/>
      </w:r>
      <w:r>
        <w:rPr>
          <w:rFonts w:ascii="Times New Roman"/>
          <w:b w:val="false"/>
          <w:i w:val="false"/>
          <w:color w:val="000000"/>
          <w:sz w:val="28"/>
        </w:rPr>
        <w:t>
      «тәртіпте» деген сөзден кейін «жаза өтеу жері бойынша прокуратураға немесе сотқа»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«123. Шартты түрде-мерзiмiнен бұрын босатудан, жазаның өтелмеген бөлiгiн жеңiл жазамен ауыстырудан бас тарту туралы шешім қабылдау жағдайда оның себебi көрсетiледi және қолдаухат шығарылады. TM түрiн өзгертуге ұсынудан бас тарту туралы шешім қабылдау жағдайда қаулы шығарылады.»;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«124. Шартты түрде-мерзiмiнен бұрын босатуға, жазаның өтелмеген бөлiгiн неғұрлым жеңiл түрімен ауыстыру туралы қолдаухатты, сондай-ақ ТМ түрiн өзгертуге ұсыну туралы қаулыны шығару мәселесін ТМ комиссиясының отырысында қайта қарау бас тарту туралы сот қаулысы шығарылған күннен бастап алты ай өткеннен кейін орын алуы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158-тармағының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«8) жаза өтеуден шартты түрде-мерзiмiнен бұрын босату немесе жазаның өтелмеген бөлiгiн жеңiл жазамен ауыстыру туралы қолдаухат шығару немесе одан бас тарту туралы, ҚК-ға, жеңілдік, қатаң жағдайларға ауыстыруға ұсыну немесе одан бас тарту туралы қаулыны шығару туралы мәселелердi қарау;».</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 Қылмыстық-атқару жүйесі комитетінің төрағасы М.А. Аюбаевқа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он күнтізбелік күн өткеннен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Р. Түсіпбеков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