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72f7" w14:textId="c6e7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Әкелінетін (әкетілетін) тіндердің және (немесе) ағзалардың (ағзалар бөліктерінің), қанның және оның компоненттерінің биологиялық қауіпсіздігі туралы қорытынды беру ережесін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12 қарашадағы N 693 Бұйрығы. Қазақстан Республикасы Әділет министрлігінде 2009 жылғы 26 қарашада Нормативтік құқықтық кесімдерді мемлекеттік тіркеудің тізіліміне N 5894 болып енгізілді. Күші жойылды - Қазақстан Республикасы Денсаулық сақтау және әлеуметтік даму министрінің 2015 жылғы 12 мамырдағы № 340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12.05.2015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2009 жылғы 18 қыркүйектегі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Әкелінетін (әкетілетін) тіндердің және (немесе) ағзалардың (ағзалар бөліктерінің), қанның және оның компоненттерінің биологиялық қауіпсіздігі туралы қорытынды беру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санитарлық-эпидемиологиялық қадағалау комитеті (К.С. Оспанов)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Әкімшілік-құқықтық жұмыс департаменті (Бисмильдин Ф.Б.) Қазақстан Республикасы Әділет министрлігінде мемлекеттік тіркелгеннен кейін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Ж. Досқалиев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693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Әкелінетін (әкетілетін) тіндердің және (немесе) ағзалардың</w:t>
      </w:r>
      <w:r>
        <w:br/>
      </w:r>
      <w:r>
        <w:rPr>
          <w:rFonts w:ascii="Times New Roman"/>
          <w:b/>
          <w:i w:val="false"/>
          <w:color w:val="000000"/>
        </w:rPr>
        <w:t>
(ағзалар бөліктерінің), қанның және оның компоненттерінің</w:t>
      </w:r>
      <w:r>
        <w:br/>
      </w:r>
      <w:r>
        <w:rPr>
          <w:rFonts w:ascii="Times New Roman"/>
          <w:b/>
          <w:i w:val="false"/>
          <w:color w:val="000000"/>
        </w:rPr>
        <w:t>
биологиялық қауіпсіздігі туралы қорытынды беру ережелері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"Халық денсаулығы және денсаулық сақтау жүйесі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әзірленген және әкелінетін (әкетілетін) тіндердің және (немесе) ағзалардың (ағзалар бөліктерінің), қанның және оның компоненттерінің биологиялық қауіпсіздігі туралы қорытындыны (одан әрі - Қорытынды) беру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сақтауды мемлекеттік басқарудың жергілікті органдары Әкелінетін (әкетілетін) тіндердің және (немесе) ағзалардың (ағзалар бөліктерінің), қанның және оның компоненттерінің биологиялық қауіпсіздігі туралы қорытынды беру мәселелесі бойынша комиссияны (бұдан әрі - Комиссия)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қорытындысы осы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 құрамына мыналар енеді: бас терапевт, бас хирург, бас инфекционист, мемлекеттік санитариялық-эпидемиологиялық қызметтің, қан орталықтарының, ЖИТС-тің алдын алу және онымен күрес жөніндегі орталықтардың, ағзалар мен тіндерді транспланттау жөніндегі медициналық қызметпен айналысатын ұйымдардың мамандары.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 жұмысының тәртібі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трансплантология бойынша медициналық қызметке және қанды және оның компоненттерін дайындау, консервлеу, қайта өңдеу, сақтау және өткізу, донорлық тіндерді, ағзаларды (ағзалар бөліктерін), қанды және оның компоненттерін консервациялау бойынша медициналық қызметке </w:t>
      </w:r>
      <w:r>
        <w:rPr>
          <w:rFonts w:ascii="Times New Roman"/>
          <w:b w:val="false"/>
          <w:i w:val="false"/>
          <w:color w:val="000000"/>
          <w:sz w:val="28"/>
        </w:rPr>
        <w:t>лицензияның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полимеразды тізбекті реакция және/немесе иммундық ферменттік талдау әдісімен гемотрансмиссивті инфекцияларға донорды (адамда иммундық жеткіліксіздік вирусы, мерез, В және С гепатиттері, көрсеткіштер бойынша – цитомегаловирустар), жыныстық жолмен берілетін инфекцияларға ооцит және шәует донорларды (гонореяға, хламидиозға, жыныс мүшелерінің герпесіне, уреаплазмозға, микоплазмозға) зерттеу құжаттамасының болуын: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медициналық ұйымдар базасында донорларды барлық инфекцияларға зерттеу деректерін;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донорлық материалдарды алу, консервациялау туралы актілердің, журналдардың, құжаттардың бар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донорды иммунологиялық зерттеу нәтижесін;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аурулардың жоқтығына донор анамнезінің деректерін;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зерттеудің бекітілген алгоритмінің бар болуын және сыртқы сапаны бақылау жүйесінде донор материалдарын зерттеуді жүзеге асыратын зертханалардың қатысуын қарастырады.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санитариялық-эпидемиологиялық қадағалау органдарының мамандары тіндерді және (немесе) ағзаларды (ағзалар бөліктерін), қанды және оның компоненттерін әкету барысында: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ұйымның донорлық тіндерді, ағзаларды, қанды және оның компоненттерін алу, консервациялау және сақтау жөніндегі қызметті жүзеге асыратын денсаулық сақтау ұйымдарына қойылатын санитариялық-эпидемиологиялық талаптарға сәйкестігіне;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әкетілетін тіндерді және (немесе) ағзаларды (ағзалардың бөліктерін), қан және оның компоненттерін алу, консервациялау және сақтауға арналған жабдықтардың дұрыстығы бойынша және мемлекеттік тексерудің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тіндерді және (немесе) ағзаларды (ағзалардың бөліктерін), қан және оның компоненттерін дайындау, консервациялау және сақтау кезіндегі ауаға, температуралық режимге және ылғалдылыққа, жабдықтарға, мүкәммалға микробиологиялық бақылау жүргізу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жабдықтарды дезинфекциялау және стерилизациялау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жеке қорғаныш құралдарының (қолғаптар, халаттар және басқа да қорғаныш киімі, бетперделер, қорғаныш көзілдіріктер немесе бетті қорғайтын экрандар)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донорлық материалды, тіндерді және (немесе) ағзаларды (ағзалардың бөліктерін), жасушаларды алуға қатысатын мамандарда мына инфекцияларға медициналық тексерудің бар болуы: АИТВ инфекциясына, В және С гепатиттеріне, мерез және В гепатитіне қарсы вакцинация;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донорлық материалдарды қауіпсіз тасымалдау үшін тиісті таңбаланған арнайы контейнерлердің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тіндерді және (немесе) ағзаларды (ағзалардың бөліктерін), қан және оның компоненттерін консервілеу жағдайы мен мерзімі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пайдалануға арналған, тексерілмеген және жоюға жататын трансплантаттарды бөлек сақтау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консервацияға арналған ерітінділерге микробиологиялық бақылау өткізудің мерзімділігі бойынша құжаттамаларды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Қорытынды беру үшін ұсынылған барлық құжаттардың тек түпнұсқаларын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Комиссияның оң қорытындылары: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қызметке лицензиясы бар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полимеразды тізбекті реакция және/немесе иммундық ферменттік талдау әдісімен гемотрансмиссивті инфекцияларға донорды (адамда иммундық жеткіліксіздік вирусы, мерез, В және С гепатиттері, көрсеткіштер бойынша – цитомегаловирустар), жыныстық жолмен берілетін инфекцияларға ооцит және шәует донорларды қосымша (гонореяға, хламидиозға, жыныс мүшелерінің герпесіне, уреаплазмозға, микоплазмозға) </w:t>
      </w:r>
      <w:r>
        <w:rPr>
          <w:rFonts w:ascii="Times New Roman"/>
          <w:b w:val="false"/>
          <w:i w:val="false"/>
          <w:color w:val="000000"/>
          <w:sz w:val="28"/>
        </w:rPr>
        <w:t>зерттеуге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теріс нәтижелері кезінде және мемлекеттік медициналық ұйымдар базасында көрсетілген зерттеулерді жүргізу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донорлық материалдарды алу, консервациялау туралы актілердің, журналдардың, құжаттардың бар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донорды иммунологиялық зерттеудің оң нәтижесі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донордың анамнезінде аурулар болмағанда;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зерттеудің бекітілген алгоритмінің бар болғанда және сыртқы сапаны бақылау жүйесінде донор материалдарын зерттеуді жүзеге асыратын зертханалар қатысқанда;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Ереженің 5-тармағында көрсетілген құжаттарды қарау нәтижелері бойынша мемлекеттік санитариялық-эпидемиологиялық қадағалау органдары мамандарының оң қорытындысы кезінде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Ереженің 4-тармағында көрсетілген құжаттардың бірі болмаған жағдайда Комиссия теріс қорытынды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қорытындыны қарау және (оң немесе теріс) шығару мерзімі 2 календарлық күнге дейін.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Қорытынды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Әкелінетін (әкетілетін) тіндердің және (немесе) ағзалардың</w:t>
      </w:r>
      <w:r>
        <w:br/>
      </w:r>
      <w:r>
        <w:rPr>
          <w:rFonts w:ascii="Times New Roman"/>
          <w:b/>
          <w:i w:val="false"/>
          <w:color w:val="000000"/>
        </w:rPr>
        <w:t>
(ағзалар бөліктерінің), қанның және оның компоненттерінің</w:t>
      </w:r>
      <w:r>
        <w:br/>
      </w:r>
      <w:r>
        <w:rPr>
          <w:rFonts w:ascii="Times New Roman"/>
          <w:b/>
          <w:i w:val="false"/>
          <w:color w:val="000000"/>
        </w:rPr>
        <w:t>
биологиялық қауіпсіздігі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сақтауды мемлекеттік жергілік басқару органының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бекітілген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құрамда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әкелінетін(әкетілетін)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тіндердің және (немесе) ағзалардың (ағзалар бөліктерінің), қанның және оның компоненттерінің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қауіпсіздігі туралы қорытынды беру үшін ұсынылған барлық материалдарды қарап, мына қорытындыны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терапевт ____________________________________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аты, әкесінің аты)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хирург  _____________________________________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аты, әкесінің аты)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инфекционист ________________________________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(тегі, аты, әкесінің аты)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санитариялық-эпидемиологиялық қызмет органынан: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гигиенист дәрігер  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 дәрігер 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 орталығынан  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ЖИТС-тің алдын алу және онымен күрес жөніндегі орталықтардан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ағзалар мен тіндерді транспланттау бойынша медициналық қызметпен айналысатын ұйымдардан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  ______________                        (тегі, аты, әкесінің аты)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