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769" w14:textId="d40e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көздерінің су ресурстарын пайдаланғаны үшін төлемақыны есептеу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2009 жылғы 14 сәуірдегі N 223 Бұйрығы. Қазақстан Республикасының Әділет министрлігінде 2009 жылғы 15 мамырда Нормативтік құқықтық кесімдерді мемлекеттік тіркеудің тізіліміне N 5675 болып енгізілді. Күші жойылды - Қазақстан Республикасы Су ресурстары және ирригация министрінің 2025 жылғы 22 шiлдедегi № 177-НҚ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 Салық және бюджетке төленетін басқа міндетті төлемдер туралы кодексінің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 487-бабының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 үсті көздерінің су ресурстарын пайдаланғаны үшін төлемақыны есептеу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әдістемесі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Табиғат ресурстарын пайдалану стратегиясы департаменті осы бұйрықты Қазақстан Республикасы Әділет министрлігінде заңнамада бекітілген тәртіппен мемлекеттік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Ауыл шаруашылығы  вице-министрі Марат Әбілахатұлы Оразаевқа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он күнтізбелік күн өткеннен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Министрдің м.а.                             А. Евниев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көздерінің су ресурстарын пайдаланғаны үшін төлемақыны есептеу әдістемесі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әдістеме Қазақстан Республикасының 2008 жылғы 10 желтоқсандағы "Салық және бюджетке төленетін басқа міндетті төлемдер туралы кодексінің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 487-бабының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әзірленген және жер үсті су ресурстарының су көздерін пайдалануда төлем мөлшерін есептеу кезінде (бұдан әрі - төлем мөлшері) қолданылады.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Төлемақы мөлшерлері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көрсетілгендей базалық ставкалар негізінде өзен бассейндері және экономика салалары бойынша Қазақстан Республикасы Статистика Агенттігінің жыл сайын жариялайтын, сәйкес жылдық инфляцияның ресми деңгейіндегі индексін ескере отырып, келесі формуламен есептеледі: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 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2009 ж </w:t>
      </w:r>
      <w:r>
        <w:rPr>
          <w:rFonts w:ascii="Times New Roman"/>
          <w:b w:val="false"/>
          <w:i w:val="false"/>
          <w:color w:val="000000"/>
          <w:sz w:val="28"/>
        </w:rPr>
        <w:t xml:space="preserve">х … 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төлемақы мөлшерлері.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базалық төлемақы мөлшері (әдістеменің қосымшасында көрсетілген).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2009 ж </w:t>
      </w:r>
      <w:r>
        <w:rPr>
          <w:rFonts w:ascii="Times New Roman"/>
          <w:b w:val="false"/>
          <w:i w:val="false"/>
          <w:color w:val="000000"/>
          <w:sz w:val="28"/>
        </w:rPr>
        <w:t xml:space="preserve">– 2009 жылғы инфляция коэффициенті (бірлікке келтірілген).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кейінгі жылдардағы инфляция коэффициенті (бірлікке келтірілген).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Төлемақы мөлшерін әзірлеу барысында аймақтың жағдайына байланысты төлемақы мөлшерін төмендету (0,2 кем емес) және жоғарылату коэффициентін жергілікті бюджетке түсетін төлемдердің жалпы сомасы осы әдістеменің 2-тармағы негізінде есептелген сомадан аспайтын болған жағдайда және екі еседен жоғары болмауы шарт болған жағдайда қолданылуы мүмкін.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үсті көздерінің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төлемақыны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көздерінің су ресурстарын пайдаланғаны үшін базалық ставкалар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ҚР Ауыл шаруашылығы министрінің 19.06.2015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19-1/550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су пайдаланудың түрі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Өзендер, көлдер, теңіздер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пайдалану және коммуналдық қызметтер. (теңге/1000 тек.м)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жылу энергетикасын қоса есептегенде (теңге/1000 тек.м)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шаруашылығы. (теңге/1000 тек.м)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өзені және Арал теңізі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және Алакөл көлдері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Нұра, Сарысу және Кенгір, бассейніне жататын өзендер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Торғай, Тобыл, Ырғыз бассейніне жататын өзендер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Жайық, Сағыз, Ембі, Еділ, Ойыл, Үлкен және Кіші Өзен өзендері және Каспий теңізі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Шу, Талас және Аса өзендері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су пайдаланудың түрі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алуды жүзеге асыратын тоған шаруашылықтары (теңге/1000 тек.м)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энергетика. (теңге/1000 кВт.сағ)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көлігі (теңге/1000 тек.м)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