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7774" w14:textId="3ed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тізбесі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9 шілдедегі № 115/18-IV Шешімі. Астана қаласының Әділет департаментінде 2008 жылғы 15 тамызда нормативтік құқықтық кесімдерді Мемлекеттік тіркеудің тізіліміне № 541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тізбесі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2005 жылғы 1 шілдеде N 395 болып тіркелген, 2005 жылғы 5 шілдеде N 90 "Астана хабары", 2005 жылғы 9 шілдеде N 103-104 "Вечерняя Астана" газеттерінде жарияланған, Астана қаласы мәслихатының 2008 жылғы 24 сәуірдегі N 80/14-IV "Астана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тізбесі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 мен толықтыруларды қоса (Нормативтік құқықтық актілерді мемлекеттік тіркеу Тізілімінде 2008 жылғы 12 мамырда N 532 болып тіркелген, 2008 жылғы 20 мамырда N 60 "Астана хабары", 2008 жылғы 20 мамырда N 58 "Вечерняя Астана" газеттерінде жарияланған) шешіміне 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бекітілген, Астана қаласы бюджетінің қаражаттары есебінен әлеуметтік көмек көрсетуге мұқтаж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17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Ата-ананың қамқорлығынсыз қалған балалар.".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төрағасы                  С.Богатырев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 В.Редкокашин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