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4f6e" w14:textId="6244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Басқармасының»"Жинақтаушы зейнетақы қорларына арналған пруденциалдық нормативтердiң нормативтiк маңызы, олардың есебiнiң әдiстемесi туралы нұсқаулықты бекiту және Қазақстан Республикасы Қаржы нарығын және қаржы ұйымдарын реттеу мен қадағалау агенттігі Басқармасының»"Қазақстан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N 310 қаулысына өзгеріс енгізу туралы" 2006 жылғы 27 қазандағы N 222 қаулысына толықтырулар мен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желтоқсандағы N 271 қаулысы. Қазақстан Республикасының Әділет министрлігінде 2008 жылғы 29 қаңтарда Нормативтік құқықтық кесімдерді мемлекеттік тіркеудің тізіліміне N 5120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_____________________Бұйрықтан үзінді______________________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4-тармағына,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1-тармағының 5) тармақшасына сәйкес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Агенттік Басқармасының "Жинақтаушы зейнетақы қорларына арналған пруденциалдық нормативтердiң нормативтiк маңызы, олардың есебiнiң әдiстемесi туралы нұсқаулықты бекiту және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N 310 қаулысына өзгеріс енгізу туралы" 2006 жылғы 27 қазандағы N 222 қаулысына толықтырулар мен өзгерiстер енгізу туралы" 2007 жылғы 24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5120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қорлардың қызметін реттеп отыратын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Агенттiк Басқармасының "Жинақтаушы зейнетақы қорларына арналған пруденциалдық нормативтердiң нормативтiк маңызы, олардың есебiнiң әдiстемесi туралы нұсқаулықты бекiту және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N 310 қаулысына өзгеріс енгізу туралы" 2006 жылғы 27 қазандағы 
</w:t>
      </w:r>
      <w:r>
        <w:rPr>
          <w:rFonts w:ascii="Times New Roman"/>
          <w:b w:val="false"/>
          <w:i w:val="false"/>
          <w:color w:val="000000"/>
          <w:sz w:val="28"/>
        </w:rPr>
        <w:t xml:space="preserve"> N 222 қаулысына </w:t>
      </w:r>
      <w:r>
        <w:rPr>
          <w:rFonts w:ascii="Times New Roman"/>
          <w:b w:val="false"/>
          <w:i w:val="false"/>
          <w:color w:val="000000"/>
          <w:sz w:val="28"/>
        </w:rPr>
        <w:t>
 (Нормативтiк құқықтық актiлердi мемлекеттiк тiркеу тiзiлiмiнде N 4479 тiркелген) Агенттiк Басқармасының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актілеріне толықтырулар мен өзгерістер енгізу туралы" 2007 жылғы 23 ақпандағы 
</w:t>
      </w:r>
      <w:r>
        <w:rPr>
          <w:rFonts w:ascii="Times New Roman"/>
          <w:b w:val="false"/>
          <w:i w:val="false"/>
          <w:color w:val="000000"/>
          <w:sz w:val="28"/>
        </w:rPr>
        <w:t xml:space="preserve"> N 40 қаулысымен </w:t>
      </w:r>
      <w:r>
        <w:rPr>
          <w:rFonts w:ascii="Times New Roman"/>
          <w:b w:val="false"/>
          <w:i w:val="false"/>
          <w:color w:val="000000"/>
          <w:sz w:val="28"/>
        </w:rPr>
        <w:t>
 (Нормативтiк құқықтық актiлердi мемлекеттiк тiркеу тiзiлiмiнде N 4608 тiркелген, Қазақстан Республикасының орталық атқарушы органдары мен басқа да мемлекеттік органдарының нормативтiк құқықтық актілерінің бюллетенiнде жарияланған, 2007 жыл, N 5, 255-құжат) енгізілген толықтыруларымен және өзгерістерімен бірге мынадай толықтырулар мен өзгерiстер енгiзiлсiн:
</w:t>
      </w:r>
      <w:r>
        <w:br/>
      </w:r>
      <w:r>
        <w:rPr>
          <w:rFonts w:ascii="Times New Roman"/>
          <w:b w:val="false"/>
          <w:i w:val="false"/>
          <w:color w:val="000000"/>
          <w:sz w:val="28"/>
        </w:rPr>
        <w:t>
      көрсетілген қаулымен бекітілген Жинақтаушы зейнетақы қорларына арналған пруденциалдық нормативтердiң нормативтiк мәнi, олардың есебiнiң әдiстемесi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5-тармағының он төртінші абзацы ", шетелдік қолма-қол валютасындағы"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6-тармағының 14) тармақшасында:
</w:t>
      </w:r>
      <w:r>
        <w:br/>
      </w:r>
      <w:r>
        <w:rPr>
          <w:rFonts w:ascii="Times New Roman"/>
          <w:b w:val="false"/>
          <w:i w:val="false"/>
          <w:color w:val="000000"/>
          <w:sz w:val="28"/>
        </w:rPr>
        <w:t>
      Standard &amp; Poor's ұлттық шәкiлi бойынша" деген сөздерден кейін "немесе басқа рейтинг агенттiктерiнiң бiрiнiң осыған ұқсас деңгейдегi рейтингi" деген сөздермен толықтырылсын";
</w:t>
      </w:r>
      <w:r>
        <w:br/>
      </w:r>
      <w:r>
        <w:rPr>
          <w:rFonts w:ascii="Times New Roman"/>
          <w:b w:val="false"/>
          <w:i w:val="false"/>
          <w:color w:val="000000"/>
          <w:sz w:val="28"/>
        </w:rPr>
        <w:t>
      Қазақстан Республикасының Standard &amp; Poor's ұлттық шәкiлi бойынша" деген сөздер "Standard &amp; Poor's ұлттық шәкiлi бойынша немесе басқа рейтинг агенттiктерiнiң бiрiнiң осыған ұқсас деңгейдегi рейтингi"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w:t>
      </w:r>
      <w:r>
        <w:br/>
      </w:r>
      <w:r>
        <w:rPr>
          <w:rFonts w:ascii="Times New Roman"/>
          <w:b w:val="false"/>
          <w:i w:val="false"/>
          <w:color w:val="000000"/>
          <w:sz w:val="28"/>
        </w:rPr>
        <w:t>
      5) тармақшада "." деген тыныс белгісі ";" деген тыныс белгісімен ауыстырылсын;
</w:t>
      </w:r>
      <w:r>
        <w:br/>
      </w:r>
      <w:r>
        <w:rPr>
          <w:rFonts w:ascii="Times New Roman"/>
          <w:b w:val="false"/>
          <w:i w:val="false"/>
          <w:color w:val="000000"/>
          <w:sz w:val="28"/>
        </w:rPr>
        <w:t>
      мынадай мазмұндағы 6) және 7) тармақшалармен толықтырылсын:
</w:t>
      </w:r>
      <w:r>
        <w:br/>
      </w:r>
      <w:r>
        <w:rPr>
          <w:rFonts w:ascii="Times New Roman"/>
          <w:b w:val="false"/>
          <w:i w:val="false"/>
          <w:color w:val="000000"/>
          <w:sz w:val="28"/>
        </w:rPr>
        <w:t>
      6) Қордың Қазақстан Республикасының резиденті болып табылатын және Алматы қаласының Өңiрлiк Қаржы Орталығының арнайы сауда алаңының ресми тізімін қоспағандағы және Қордың меншiктi активтері көлемiнiң он пайызы мөлшерінде сауда-саттықты ұйымдастырушының ресми тізіміне енгізілген, бірақ осы басқарушы компанияның аралық пай инвестициялық қорының пай активтерінің он пайызынан аспауы тиіс;
</w:t>
      </w:r>
      <w:r>
        <w:br/>
      </w:r>
      <w:r>
        <w:rPr>
          <w:rFonts w:ascii="Times New Roman"/>
          <w:b w:val="false"/>
          <w:i w:val="false"/>
          <w:color w:val="000000"/>
          <w:sz w:val="28"/>
        </w:rPr>
        <w:t>
      7) "Standard &amp; Poor' sprincipal stability fundrаtings" ВВВm"-дан кем емес не "Standard &amp; Poor's Fundcredit quality ratings"
</w:t>
      </w:r>
      <w:r>
        <w:br/>
      </w:r>
      <w:r>
        <w:rPr>
          <w:rFonts w:ascii="Times New Roman"/>
          <w:b w:val="false"/>
          <w:i w:val="false"/>
          <w:color w:val="000000"/>
          <w:sz w:val="28"/>
        </w:rPr>
        <w:t>
ВВВf-"-дан кем емес халықаралық рейтинг бағасы бар инвестициялық қорының пайларына, қордың меншiктi активтерiнiң көлемiнiң он бес процентiнен артық емес, бірақ осы инвестициялық қоры активтерінің он пайызынан аспайтын.";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"оның орнындағы адам, бас бухгалтер, сондай-ақ Қордың iшкi құжаттарына сәйкес аталған ақпаратқа қол қоюға құқығы бар өзге тұлғалар" деген сөздер "есепке қол қоюға уәкілетті, бас бухгалтер"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1-қосымшасында:
</w:t>
      </w:r>
      <w:r>
        <w:br/>
      </w:r>
      <w:r>
        <w:rPr>
          <w:rFonts w:ascii="Times New Roman"/>
          <w:b w:val="false"/>
          <w:i w:val="false"/>
          <w:color w:val="000000"/>
          <w:sz w:val="28"/>
        </w:rPr>
        <w:t>
     "Кредит тәуекелділігі" кестесіндегі: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1073"/>
        <w:gridCol w:w="973"/>
        <w:gridCol w:w="1153"/>
      </w:tblGrid>
      <w:tr>
        <w:trPr>
          <w:trHeight w:val="450" w:hRule="atLeast"/>
        </w:trPr>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активі индекс болып табылатын
</w:t>
            </w:r>
            <w:r>
              <w:br/>
            </w:r>
            <w:r>
              <w:rPr>
                <w:rFonts w:ascii="Times New Roman"/>
                <w:b w:val="false"/>
                <w:i w:val="false"/>
                <w:color w:val="000000"/>
                <w:sz w:val="20"/>
              </w:rPr>
              <w:t>
фьючерс, опцион, своп, форвард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1073"/>
        <w:gridCol w:w="973"/>
        <w:gridCol w:w="1153"/>
      </w:tblGrid>
      <w:tr>
        <w:trPr>
          <w:trHeight w:val="450" w:hRule="atLeast"/>
        </w:trPr>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активі индекс болып табылатын
</w:t>
            </w:r>
            <w:r>
              <w:br/>
            </w:r>
            <w:r>
              <w:rPr>
                <w:rFonts w:ascii="Times New Roman"/>
                <w:b w:val="false"/>
                <w:i w:val="false"/>
                <w:color w:val="000000"/>
                <w:sz w:val="20"/>
              </w:rPr>
              <w:t>
фьючерс, опцион, своп, форвард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1073"/>
        <w:gridCol w:w="973"/>
        <w:gridCol w:w="1153"/>
      </w:tblGrid>
      <w:tr>
        <w:trPr>
          <w:trHeight w:val="450" w:hRule="atLeast"/>
        </w:trPr>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активі индекс болып табылатын
</w:t>
            </w:r>
            <w:r>
              <w:br/>
            </w:r>
            <w:r>
              <w:rPr>
                <w:rFonts w:ascii="Times New Roman"/>
                <w:b w:val="false"/>
                <w:i w:val="false"/>
                <w:color w:val="000000"/>
                <w:sz w:val="20"/>
              </w:rPr>
              <w:t>
фьючерс, опцион, своп, форвард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1073"/>
        <w:gridCol w:w="973"/>
        <w:gridCol w:w="1153"/>
      </w:tblGrid>
      <w:tr>
        <w:trPr>
          <w:trHeight w:val="450" w:hRule="atLeast"/>
        </w:trPr>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активі индекс болып табылатын
</w:t>
            </w:r>
            <w:r>
              <w:br/>
            </w:r>
            <w:r>
              <w:rPr>
                <w:rFonts w:ascii="Times New Roman"/>
                <w:b w:val="false"/>
                <w:i w:val="false"/>
                <w:color w:val="000000"/>
                <w:sz w:val="20"/>
              </w:rPr>
              <w:t>
фьючерс, опцион, своп, форвард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деген жолдар алынып тасталсын;
</w:t>
      </w:r>
      <w:r>
        <w:br/>
      </w:r>
      <w:r>
        <w:rPr>
          <w:rFonts w:ascii="Times New Roman"/>
          <w:b w:val="false"/>
          <w:i w:val="false"/>
          <w:color w:val="000000"/>
          <w:sz w:val="28"/>
        </w:rPr>
        <w:t>
      кестенің барлық мәтіні бойынша "Standard &amp; Poor's" ұлттық шәкілі бойынша" деген сөздер "немесе басқа рейтинг агенттiктерiнiң бiрiнiң осыған ұқсас деңгейдегi рейтингi" деген сөздермен толықтырылсын;
</w:t>
      </w:r>
      <w:r>
        <w:br/>
      </w:r>
      <w:r>
        <w:rPr>
          <w:rFonts w:ascii="Times New Roman"/>
          <w:b w:val="false"/>
          <w:i w:val="false"/>
          <w:color w:val="000000"/>
          <w:sz w:val="28"/>
        </w:rPr>
        <w:t>
      кестені толтыру жөніндегі түсіндірмеде:
</w:t>
      </w:r>
      <w:r>
        <w:br/>
      </w:r>
      <w:r>
        <w:rPr>
          <w:rFonts w:ascii="Times New Roman"/>
          <w:b w:val="false"/>
          <w:i w:val="false"/>
          <w:color w:val="000000"/>
          <w:sz w:val="28"/>
        </w:rPr>
        <w:t>
      мынадай мазмұндағы бесінші-он бірінші абзацтармен толықтырылсын:
</w:t>
      </w:r>
      <w:r>
        <w:br/>
      </w:r>
      <w:r>
        <w:rPr>
          <w:rFonts w:ascii="Times New Roman"/>
          <w:b w:val="false"/>
          <w:i w:val="false"/>
          <w:color w:val="000000"/>
          <w:sz w:val="28"/>
        </w:rPr>
        <w:t>
      "Своп, фьючерс, опцион және форвард операциялары бойынша кредит тәуекелділігі осы Нұсқаулықтың 1-1-қосымшасында көрсетілген қаржы құралдарын кредит тәуекелділігі коэффициентіне номиналды құнды жүргізуі және аталған қаржы құралдарын өтеу мерзімін анықтау ретінде есептеледі.
</w:t>
      </w:r>
      <w:r>
        <w:br/>
      </w:r>
      <w:r>
        <w:rPr>
          <w:rFonts w:ascii="Times New Roman"/>
          <w:b w:val="false"/>
          <w:i w:val="false"/>
          <w:color w:val="000000"/>
          <w:sz w:val="28"/>
        </w:rPr>
        <w:t>
      Осы тармақта көрсетілген қаржы құралдарының нарықтық құны (өтеу құны) мынаны білдіреді:
</w:t>
      </w:r>
      <w:r>
        <w:br/>
      </w:r>
      <w:r>
        <w:rPr>
          <w:rFonts w:ascii="Times New Roman"/>
          <w:b w:val="false"/>
          <w:i w:val="false"/>
          <w:color w:val="000000"/>
          <w:sz w:val="28"/>
        </w:rPr>
        <w:t>
      сатып алу мәмілелер бойынша - қаржы құралының ағымдағы нарықтық құнының осы қаржы құралының номиналды келісім-шарт құнынан асып кету шамасы. Егер қаржы құралының ағымдағы нарықтық құны оның номиналды келісім-шарт құнынан кем немесе тең болса, онда өтеу құны нөлге тең болады;
</w:t>
      </w:r>
      <w:r>
        <w:br/>
      </w:r>
      <w:r>
        <w:rPr>
          <w:rFonts w:ascii="Times New Roman"/>
          <w:b w:val="false"/>
          <w:i w:val="false"/>
          <w:color w:val="000000"/>
          <w:sz w:val="28"/>
        </w:rPr>
        <w:t>
      сату мәмілелер бойынша - қаржы құралының номиналды келісім-шарт құнының осы қаржы құралының ағымдағы нарықтық құнынан асып кету шамасы. Егер қаржы құралының номиналды келісім-шарт құны оның ағымдағы нарықтық құнынан кем немесе тең болса, онда өтеу құны нөлге тең болады.
</w:t>
      </w:r>
      <w:r>
        <w:br/>
      </w:r>
      <w:r>
        <w:rPr>
          <w:rFonts w:ascii="Times New Roman"/>
          <w:b w:val="false"/>
          <w:i w:val="false"/>
          <w:color w:val="000000"/>
          <w:sz w:val="28"/>
        </w:rPr>
        <w:t>
      Бивалюталық қаржы құралдары бойынша (талап етуі мен міндеттемесі әртүрлі шетел валюталарында көрсетілген қаржы құралдары) өтеу құны есеп беру жасалған күнге бағам бойынша белгіленген талап етудің теңгелік баламасының міндеттемелердің теңгелік баламасынан асып кету шамасы ретінде анықталады. Егер талап етудің теңгелік балама міндеттемелердің шамасы міндеттемелердің теңгелік баламасынан кем немесе тең болса, онда өтеу құны нөлге тең болады.
</w:t>
      </w:r>
      <w:r>
        <w:br/>
      </w:r>
      <w:r>
        <w:rPr>
          <w:rFonts w:ascii="Times New Roman"/>
          <w:b w:val="false"/>
          <w:i w:val="false"/>
          <w:color w:val="000000"/>
          <w:sz w:val="28"/>
        </w:rPr>
        <w:t>
      Осы тармақта көрсетілген қаржы құралдарының номиналды келісім-шарт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 келісім-шарт құны үшін Қордың талап ету валютасы алынады.
</w:t>
      </w:r>
      <w:r>
        <w:br/>
      </w:r>
      <w:r>
        <w:rPr>
          <w:rFonts w:ascii="Times New Roman"/>
          <w:b w:val="false"/>
          <w:i w:val="false"/>
          <w:color w:val="000000"/>
          <w:sz w:val="28"/>
        </w:rPr>
        <w:t>
      Сатылған опциондар бойынша өтеу құны есептелмейді.";
</w:t>
      </w:r>
      <w:r>
        <w:br/>
      </w:r>
      <w:r>
        <w:rPr>
          <w:rFonts w:ascii="Times New Roman"/>
          <w:b w:val="false"/>
          <w:i w:val="false"/>
          <w:color w:val="000000"/>
          <w:sz w:val="28"/>
        </w:rPr>
        <w:t>
      жетінші абзацтағы "ең жоғарғы рейтинг бағасына" деген сөздер "ұлттық шәкілі бойынша рейтинг бағасы"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қаулының қосымшасына сәйкес 1-1-қосымшасымен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4-қосымшаның 14 жолында "Standard &amp; Poor's ұлттық шәкiлi бойынша" деген сөздерден кейін "немесе басқа рейтинг агенттiктерiнiң бiрiнiң осыған ұқсас деңгейдегi рейтингi"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5-қосымшаның 8013 жолы "Standard &amp; Poor's ұлттық шәкiлi бойынша" деген сөздерден кейін "немесе басқа рейтинг агенттiктерiнiң бiрiнiң осыған ұқсас деңгейдегi рейтингi"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1, 2, 3, 4, және 5-қосымшаларындағы "Басшы" деген сөзді "Бірінші басшы немесе есепке қол қоюға уәкілетті тұлға"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(Н.А. Әбдірахманов):
</w:t>
      </w:r>
      <w:r>
        <w:br/>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қаулыны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және "Қазақстан қаржыгерлерінің қауымдастығы" Заңды тұлғалар бірлестігіне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Төраға Қызметі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2007 жылғы 24 желтоқсандағы
</w:t>
      </w:r>
      <w:r>
        <w:br/>
      </w:r>
      <w:r>
        <w:rPr>
          <w:rFonts w:ascii="Times New Roman"/>
          <w:b w:val="false"/>
          <w:i w:val="false"/>
          <w:color w:val="000000"/>
          <w:sz w:val="28"/>
        </w:rPr>
        <w:t>
                                       N 271 қаулысының қосымшасы
</w:t>
      </w:r>
    </w:p>
    <w:p>
      <w:pPr>
        <w:spacing w:after="0"/>
        <w:ind w:left="0"/>
        <w:jc w:val="both"/>
      </w:pP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олардың есебінің
</w:t>
      </w:r>
      <w:r>
        <w:br/>
      </w:r>
      <w:r>
        <w:rPr>
          <w:rFonts w:ascii="Times New Roman"/>
          <w:b w:val="false"/>
          <w:i w:val="false"/>
          <w:color w:val="000000"/>
          <w:sz w:val="28"/>
        </w:rPr>
        <w:t>
                                   әдістемесі туралы нұсқаулықтың
</w:t>
      </w:r>
      <w:r>
        <w:br/>
      </w:r>
      <w:r>
        <w:rPr>
          <w:rFonts w:ascii="Times New Roman"/>
          <w:b w:val="false"/>
          <w:i w:val="false"/>
          <w:color w:val="000000"/>
          <w:sz w:val="28"/>
        </w:rPr>
        <w:t>
                                              1-1-қосымшасы"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Туынды қаржы құралдарымен жасалған мәмілелер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 тәуекелділігі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753"/>
        <w:gridCol w:w="1433"/>
        <w:gridCol w:w="1433"/>
        <w:gridCol w:w="1593"/>
        <w:gridCol w:w="1593"/>
        <w:gridCol w:w="1433"/>
      </w:tblGrid>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Валюталау күніне дейін мерзімі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бағалы
</w:t>
            </w:r>
            <w:r>
              <w:br/>
            </w:r>
            <w:r>
              <w:rPr>
                <w:rFonts w:ascii="Times New Roman"/>
                <w:b w:val="false"/>
                <w:i w:val="false"/>
                <w:color w:val="000000"/>
                <w:sz w:val="20"/>
              </w:rPr>
              <w:t>
қағаздармен жа-
</w:t>
            </w:r>
            <w:r>
              <w:br/>
            </w:r>
            <w:r>
              <w:rPr>
                <w:rFonts w:ascii="Times New Roman"/>
                <w:b w:val="false"/>
                <w:i w:val="false"/>
                <w:color w:val="000000"/>
                <w:sz w:val="20"/>
              </w:rPr>
              <w:t>
салған
</w:t>
            </w:r>
            <w:r>
              <w:br/>
            </w:r>
            <w:r>
              <w:rPr>
                <w:rFonts w:ascii="Times New Roman"/>
                <w:b w:val="false"/>
                <w:i w:val="false"/>
                <w:color w:val="000000"/>
                <w:sz w:val="20"/>
              </w:rPr>
              <w:t>
мәміле-
</w:t>
            </w:r>
            <w:r>
              <w:br/>
            </w:r>
            <w:r>
              <w:rPr>
                <w:rFonts w:ascii="Times New Roman"/>
                <w:b w:val="false"/>
                <w:i w:val="false"/>
                <w:color w:val="000000"/>
                <w:sz w:val="20"/>
              </w:rPr>
              <w:t>
лер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
</w:t>
            </w:r>
            <w:r>
              <w:br/>
            </w:r>
            <w:r>
              <w:rPr>
                <w:rFonts w:ascii="Times New Roman"/>
                <w:b w:val="false"/>
                <w:i w:val="false"/>
                <w:color w:val="000000"/>
                <w:sz w:val="20"/>
              </w:rPr>
              <w:t>
талық
</w:t>
            </w:r>
            <w:r>
              <w:br/>
            </w:r>
            <w:r>
              <w:rPr>
                <w:rFonts w:ascii="Times New Roman"/>
                <w:b w:val="false"/>
                <w:i w:val="false"/>
                <w:color w:val="000000"/>
                <w:sz w:val="20"/>
              </w:rPr>
              <w:t>
мәмі-
</w:t>
            </w:r>
            <w:r>
              <w:br/>
            </w:r>
            <w:r>
              <w:rPr>
                <w:rFonts w:ascii="Times New Roman"/>
                <w:b w:val="false"/>
                <w:i w:val="false"/>
                <w:color w:val="000000"/>
                <w:sz w:val="20"/>
              </w:rPr>
              <w:t>
лелер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Пайыз-
</w:t>
            </w:r>
            <w:r>
              <w:br/>
            </w:r>
            <w:r>
              <w:rPr>
                <w:rFonts w:ascii="Times New Roman"/>
                <w:b w:val="false"/>
                <w:i w:val="false"/>
                <w:color w:val="000000"/>
                <w:sz w:val="20"/>
              </w:rPr>
              <w:t>
дық
</w:t>
            </w:r>
            <w:r>
              <w:br/>
            </w:r>
            <w:r>
              <w:rPr>
                <w:rFonts w:ascii="Times New Roman"/>
                <w:b w:val="false"/>
                <w:i w:val="false"/>
                <w:color w:val="000000"/>
                <w:sz w:val="20"/>
              </w:rPr>
              <w:t>
мәмі-
</w:t>
            </w:r>
            <w:r>
              <w:br/>
            </w:r>
            <w:r>
              <w:rPr>
                <w:rFonts w:ascii="Times New Roman"/>
                <w:b w:val="false"/>
                <w:i w:val="false"/>
                <w:color w:val="000000"/>
                <w:sz w:val="20"/>
              </w:rPr>
              <w:t>
лелер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емес
</w:t>
            </w:r>
            <w:r>
              <w:br/>
            </w: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дармен
</w:t>
            </w:r>
            <w:r>
              <w:br/>
            </w:r>
            <w:r>
              <w:rPr>
                <w:rFonts w:ascii="Times New Roman"/>
                <w:b w:val="false"/>
                <w:i w:val="false"/>
                <w:color w:val="000000"/>
                <w:sz w:val="20"/>
              </w:rPr>
              <w:t>
жасал-
</w:t>
            </w:r>
            <w:r>
              <w:br/>
            </w:r>
            <w:r>
              <w:rPr>
                <w:rFonts w:ascii="Times New Roman"/>
                <w:b w:val="false"/>
                <w:i w:val="false"/>
                <w:color w:val="000000"/>
                <w:sz w:val="20"/>
              </w:rPr>
              <w:t>
ған
</w:t>
            </w:r>
            <w:r>
              <w:br/>
            </w:r>
            <w:r>
              <w:rPr>
                <w:rFonts w:ascii="Times New Roman"/>
                <w:b w:val="false"/>
                <w:i w:val="false"/>
                <w:color w:val="000000"/>
                <w:sz w:val="20"/>
              </w:rPr>
              <w:t>
мәмі-
</w:t>
            </w:r>
            <w:r>
              <w:br/>
            </w:r>
            <w:r>
              <w:rPr>
                <w:rFonts w:ascii="Times New Roman"/>
                <w:b w:val="false"/>
                <w:i w:val="false"/>
                <w:color w:val="000000"/>
                <w:sz w:val="20"/>
              </w:rPr>
              <w:t>
лелер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метал-
</w:t>
            </w:r>
            <w:r>
              <w:br/>
            </w:r>
            <w:r>
              <w:rPr>
                <w:rFonts w:ascii="Times New Roman"/>
                <w:b w:val="false"/>
                <w:i w:val="false"/>
                <w:color w:val="000000"/>
                <w:sz w:val="20"/>
              </w:rPr>
              <w:t>
дармен
</w:t>
            </w:r>
            <w:r>
              <w:br/>
            </w:r>
            <w:r>
              <w:rPr>
                <w:rFonts w:ascii="Times New Roman"/>
                <w:b w:val="false"/>
                <w:i w:val="false"/>
                <w:color w:val="000000"/>
                <w:sz w:val="20"/>
              </w:rPr>
              <w:t>
жасал-
</w:t>
            </w:r>
            <w:r>
              <w:br/>
            </w:r>
            <w:r>
              <w:rPr>
                <w:rFonts w:ascii="Times New Roman"/>
                <w:b w:val="false"/>
                <w:i w:val="false"/>
                <w:color w:val="000000"/>
                <w:sz w:val="20"/>
              </w:rPr>
              <w:t>
ған мә-
</w:t>
            </w:r>
            <w:r>
              <w:br/>
            </w:r>
            <w:r>
              <w:rPr>
                <w:rFonts w:ascii="Times New Roman"/>
                <w:b w:val="false"/>
                <w:i w:val="false"/>
                <w:color w:val="000000"/>
                <w:sz w:val="20"/>
              </w:rPr>
              <w:t>
мілелер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мәмі-
</w:t>
            </w:r>
            <w:r>
              <w:br/>
            </w:r>
            <w:r>
              <w:rPr>
                <w:rFonts w:ascii="Times New Roman"/>
                <w:b w:val="false"/>
                <w:i w:val="false"/>
                <w:color w:val="000000"/>
                <w:sz w:val="20"/>
              </w:rPr>
              <w:t>
лелер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жылдан кем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жылдан бастап
</w:t>
            </w:r>
            <w:r>
              <w:br/>
            </w:r>
            <w:r>
              <w:rPr>
                <w:rFonts w:ascii="Times New Roman"/>
                <w:b w:val="false"/>
                <w:i w:val="false"/>
                <w:color w:val="000000"/>
                <w:sz w:val="20"/>
              </w:rPr>
              <w:t>
5 жылға дейін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жылдан артық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bl>
    <w:p>
      <w:pPr>
        <w:spacing w:after="0"/>
        <w:ind w:left="0"/>
        <w:jc w:val="both"/>
      </w:pPr>
      <w:r>
        <w:rPr>
          <w:rFonts w:ascii="Times New Roman"/>
          <w:b w:val="false"/>
          <w:i w:val="false"/>
          <w:color w:val="000000"/>
          <w:sz w:val="28"/>
        </w:rPr>
        <w:t>
   Туынды қаржы құралдары бойынша кредит тәуекелділігі есепті күннен бастап валюттау күніне дейін қалған мерзімге қатысты номиналды келісім-шарт құнын коэффициенттерге көбейту жолымен есептелінеді.
</w:t>
      </w:r>
      <w:r>
        <w:br/>
      </w:r>
      <w:r>
        <w:rPr>
          <w:rFonts w:ascii="Times New Roman"/>
          <w:b w:val="false"/>
          <w:i w:val="false"/>
          <w:color w:val="000000"/>
          <w:sz w:val="28"/>
        </w:rPr>
        <w:t>
      Осы кестеде келтірілген санаттың ешқайсысына да жатпайтын туынды қаржы құралдарымен операциялар "Басқа мәмілелер" санатында көрсетілген кредит тәуекелділігінің коэффициенттері бойынша саралануы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