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e94b" w14:textId="342e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азаматтығына қабылдаудың оңайлатылған тәртібі белгіленетін адамдар үшін кәсіптердің тізбесін және оларға қойылатын талаптарды бекіту туралы" Қазақстан Республикасы Президентінің 2005 жылғы 6 маусымдағы № 1587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2018 жылғы 26 желтоқсандағы № 814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w:t>
            </w:r>
            <w:r>
              <w:br/>
            </w:r>
            <w:r>
              <w:rPr>
                <w:rFonts w:ascii="Times New Roman"/>
                <w:b w:val="false"/>
                <w:i w:val="false"/>
                <w:color w:val="000000"/>
                <w:sz w:val="20"/>
              </w:rPr>
              <w:t>мен Үкіметі актілерінің жинағында</w:t>
            </w:r>
            <w:r>
              <w:br/>
            </w:r>
            <w:r>
              <w:rPr>
                <w:rFonts w:ascii="Times New Roman"/>
                <w:b w:val="false"/>
                <w:i w:val="false"/>
                <w:color w:val="000000"/>
                <w:sz w:val="20"/>
              </w:rPr>
              <w:t>және республикалық баспасөзде</w:t>
            </w:r>
            <w:r>
              <w:br/>
            </w:r>
            <w:r>
              <w:rPr>
                <w:rFonts w:ascii="Times New Roman"/>
                <w:b w:val="false"/>
                <w:i w:val="false"/>
                <w:color w:val="000000"/>
                <w:sz w:val="20"/>
              </w:rPr>
              <w:t>жариялануға тиіс</w:t>
            </w:r>
          </w:p>
        </w:tc>
      </w:tr>
    </w:tbl>
    <w:bookmarkStart w:name="z1" w:id="0"/>
    <w:p>
      <w:pPr>
        <w:spacing w:after="0"/>
        <w:ind w:left="0"/>
        <w:jc w:val="both"/>
      </w:pPr>
      <w:r>
        <w:rPr>
          <w:rFonts w:ascii="Times New Roman"/>
          <w:b w:val="false"/>
          <w:i w:val="false"/>
          <w:color w:val="000000"/>
          <w:sz w:val="28"/>
        </w:rPr>
        <w:t xml:space="preserve">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азаматтығына қабылдаудың оңайлатылған тәртібі белгіленетін адамдар үшін кәсіптердің тізбесін және оларға қойылатын талаптарды бекіту туралы" Қазақстан Республикасы Президентінің 2005 жылғы 6 маусымдағы № 1587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ПYАЖ-ы, 2005 ж., № 23, 284-құжат)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азаматтығына қабылдаудың оңайлатылған тәртібі белгіленетін адамдар үшін кәсіптердің </w:t>
      </w:r>
      <w:r>
        <w:rPr>
          <w:rFonts w:ascii="Times New Roman"/>
          <w:b w:val="false"/>
          <w:i w:val="false"/>
          <w:color w:val="000000"/>
          <w:sz w:val="28"/>
        </w:rPr>
        <w:t>тізбесі және оларға қойылатын талаптарда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6 және 10-жолдар мынадай редакцияда жазылсын:</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515"/>
        <w:gridCol w:w="10302"/>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саласындағы ғылыми дәрежесi мен атағының, ғылыми-зерттеу жұмыстарының және халықаралық маңызы бар iзденiстерiнiң, халықаралық сертификаттарының болуы, сондай-ақ мамандануына сәйкес: </w:t>
            </w:r>
            <w:r>
              <w:br/>
            </w:r>
            <w:r>
              <w:rPr>
                <w:rFonts w:ascii="Times New Roman"/>
                <w:b w:val="false"/>
                <w:i w:val="false"/>
                <w:color w:val="000000"/>
                <w:sz w:val="20"/>
              </w:rPr>
              <w:t xml:space="preserve">
1) акушерлiк пен гинекология; </w:t>
            </w:r>
            <w:r>
              <w:br/>
            </w:r>
            <w:r>
              <w:rPr>
                <w:rFonts w:ascii="Times New Roman"/>
                <w:b w:val="false"/>
                <w:i w:val="false"/>
                <w:color w:val="000000"/>
                <w:sz w:val="20"/>
              </w:rPr>
              <w:t xml:space="preserve">
ангиохирургия; </w:t>
            </w:r>
            <w:r>
              <w:br/>
            </w:r>
            <w:r>
              <w:rPr>
                <w:rFonts w:ascii="Times New Roman"/>
                <w:b w:val="false"/>
                <w:i w:val="false"/>
                <w:color w:val="000000"/>
                <w:sz w:val="20"/>
              </w:rPr>
              <w:t xml:space="preserve">
анестезиология-реаниматология; </w:t>
            </w:r>
            <w:r>
              <w:br/>
            </w:r>
            <w:r>
              <w:rPr>
                <w:rFonts w:ascii="Times New Roman"/>
                <w:b w:val="false"/>
                <w:i w:val="false"/>
                <w:color w:val="000000"/>
                <w:sz w:val="20"/>
              </w:rPr>
              <w:t xml:space="preserve">
кардиохирургия; </w:t>
            </w:r>
            <w:r>
              <w:br/>
            </w:r>
            <w:r>
              <w:rPr>
                <w:rFonts w:ascii="Times New Roman"/>
                <w:b w:val="false"/>
                <w:i w:val="false"/>
                <w:color w:val="000000"/>
                <w:sz w:val="20"/>
              </w:rPr>
              <w:t xml:space="preserve">
нейрохирургия; </w:t>
            </w:r>
            <w:r>
              <w:br/>
            </w:r>
            <w:r>
              <w:rPr>
                <w:rFonts w:ascii="Times New Roman"/>
                <w:b w:val="false"/>
                <w:i w:val="false"/>
                <w:color w:val="000000"/>
                <w:sz w:val="20"/>
              </w:rPr>
              <w:t xml:space="preserve">
онкология; </w:t>
            </w:r>
            <w:r>
              <w:br/>
            </w:r>
            <w:r>
              <w:rPr>
                <w:rFonts w:ascii="Times New Roman"/>
                <w:b w:val="false"/>
                <w:i w:val="false"/>
                <w:color w:val="000000"/>
                <w:sz w:val="20"/>
              </w:rPr>
              <w:t xml:space="preserve">
онкогематология; </w:t>
            </w:r>
            <w:r>
              <w:br/>
            </w:r>
            <w:r>
              <w:rPr>
                <w:rFonts w:ascii="Times New Roman"/>
                <w:b w:val="false"/>
                <w:i w:val="false"/>
                <w:color w:val="000000"/>
                <w:sz w:val="20"/>
              </w:rPr>
              <w:t xml:space="preserve">
оториноларингология; </w:t>
            </w:r>
            <w:r>
              <w:br/>
            </w:r>
            <w:r>
              <w:rPr>
                <w:rFonts w:ascii="Times New Roman"/>
                <w:b w:val="false"/>
                <w:i w:val="false"/>
                <w:color w:val="000000"/>
                <w:sz w:val="20"/>
              </w:rPr>
              <w:t xml:space="preserve">
радиология; </w:t>
            </w:r>
            <w:r>
              <w:br/>
            </w:r>
            <w:r>
              <w:rPr>
                <w:rFonts w:ascii="Times New Roman"/>
                <w:b w:val="false"/>
                <w:i w:val="false"/>
                <w:color w:val="000000"/>
                <w:sz w:val="20"/>
              </w:rPr>
              <w:t xml:space="preserve">
трансплантология; </w:t>
            </w:r>
            <w:r>
              <w:br/>
            </w:r>
            <w:r>
              <w:rPr>
                <w:rFonts w:ascii="Times New Roman"/>
                <w:b w:val="false"/>
                <w:i w:val="false"/>
                <w:color w:val="000000"/>
                <w:sz w:val="20"/>
              </w:rPr>
              <w:t xml:space="preserve">
фармакология және клиникалық фармакология; </w:t>
            </w:r>
            <w:r>
              <w:br/>
            </w:r>
            <w:r>
              <w:rPr>
                <w:rFonts w:ascii="Times New Roman"/>
                <w:b w:val="false"/>
                <w:i w:val="false"/>
                <w:color w:val="000000"/>
                <w:sz w:val="20"/>
              </w:rPr>
              <w:t xml:space="preserve">
жақ-бет хирургиясы саласындағы диагностика мен емдеудiң; </w:t>
            </w:r>
            <w:r>
              <w:br/>
            </w:r>
            <w:r>
              <w:rPr>
                <w:rFonts w:ascii="Times New Roman"/>
                <w:b w:val="false"/>
                <w:i w:val="false"/>
                <w:color w:val="000000"/>
                <w:sz w:val="20"/>
              </w:rPr>
              <w:t>
2) фармакогенетика саласындағы фармакогеномиканың озық әдiстерiн меңгеруi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269"/>
        <w:gridCol w:w="11425"/>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Нұсқаушы-спортшы</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Спортшыда Олимпиада ойындарында біріншіден алтыншыға дейінгі орынды немесе әлем чемпионаттарында бiрiншiден үшiншiге дейiнгi орынды немесе Азия ойындарында бiрiншiден үшіншіге дейінгі орынды немесе Еуропа чемпионаттарында бiрiншiден үшіншіге дейінгі орынды немесе спорттың олимпиадалық түрлерi бойынша әлем кубогi финалдарында бiрiншi орынды немесе Азия, Еуропа чемпионаттарында, Дүниежүзілiк универсиадаларда, Дүниежүзілiк жасөспiрiмдер мен юниорлар ойындарында бiрiншiден үшiншiге дейiнгi орынды иеленген, сондай-ақ басқа да маңызды халықаралық жарыстарда бiрiншiден үшiншiге дейiнгi орынды иеленген кемінде халықаралық біліктіліктің спорт шебері спорттық атағының не халықаралық деңгейдегі спорттық біліктілігінің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мынадай мазмұндағы реттік нөмірлері 25, 26, 27, 28, 29, 30, 31, 32, 33, 34, 35, 36, 37, 38, 39 және 40-жолдармен толықтырылсын:</w:t>
      </w:r>
    </w:p>
    <w:bookmarkEnd w:id="5"/>
    <w:bookmarkStart w:name="z7"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2449"/>
        <w:gridCol w:w="9281"/>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саласындағы ғылыми дәрежесi мен атағының, ғылыми-зерттеу жұмыстарының және халықаралық маңызы бар iзденiстерiнiң, халықаралық сертификаттарының болуы, сондай-ақ мамандануына сәйкес биоинформатика саласындағы биомедициналық деректерді талдаудың озық әдістерін меңгеруі</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Бизнес-талдаушы</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Бизнес-талдау практикалары бойынша халықаралық танылған сертификатының және бизнес-процестерге талдау жүргізу мен модельдеу саласындағы мамандық бойынша кемінде үш жыл жұмыс тәжірибесінің болуы</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архитектор</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мен атағының, халықаралық сертификаттардың және бағдарламалық қамтылым архитектурасын әзірлеу мен жобалау бойынша кемінде үш жыл жұмыс тәжірибесінің болуы</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әзірлеушісі</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мен атағының, мамандығы бойынша біліктілігін растайтын халықаралық танылған сертификатының; ақпараттық-коммуникациялық және аддитивті технологияларды қолдана отырып, зерттеулерді, әзірлемелерді, бағдарламалауды және тестілеуді қоса алғанда, бағдарламалық қамтылымды әзірлеу бойынша кемінде үш жыл жұмыс тәжірибесінің болуы</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жобалық менеджер</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мен атағының, жобалық менеджмент саласындағы халықаралық танылған сертификаттарының; ақпараттық технологиялар саласындағы жобаларды басқару бойынша кемінде үш жыл жұмыс тәжірибесінің болуы</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техникасы жөніндегі маман</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біліктілігін растайтын халықаралық танылған сертификатының; роботтарды бағдарламалау және модельдеу бойынша жұмыс тәжірибесінің болуы</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дизайнер</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біліктілігін растайтын халықаралық танылған сертификатының, инфографика, виртуалды әлем бойынша дизайн саласында кемінде үш жыл жұмыс тәжірибесінің болуы</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жөніндегі маман</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мен атағының, мамандығы бойынша біліктілігін растайтын халықаралық танылған сертификатының; ақпаратты қорғауды қамтамасыз ету, ақпаратты қорғау жүйелерін әзірлеу және сүйемелдеу, ақпараттық қауіпсіздікті басқару және қамтамасыз ету процесін бақылау бойынша кемінде үш жыл жұмыс тәжірибесінің болуы</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жөніндегі аудитор</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мен атағының, мамандығы бойынша біліктілігін растайтын халықаралық танылған сертификатының; ақпараттандыру объектілерінің ақпараттық қауіпсіздік, ақпараттық қауіпсіздік аудитін жоспарлау және бақылау талаптарына сәйкестігіне аудит жүргізу бойынша кемінде үш жыл жұмыс тәжірибесінің болуы</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инженер</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мен атағының, мамандығы бойынша біліктілігін растайтын халықаралық танылған сертификатының; ақпаратты қорғау жүйесін әзірлеу мен сүйемелдеу, ақпаратты қорғау құралдарын орнату, күйін келтіру және жұмыс істеуін қамтамасыз ету бойынша кемінде үш жыл жұмыс тәжірибесінің болуы</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оқытушысы</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саладағы кемінде магистрдің академиялық дәрежесінің, әлемдік академиялық рейтингтердің алғашқы 100 (жүз) қатарына кіретін жоғары оқу орындарында кемінде бес жыл жұмыс тәжірибесінің болуы</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 (білім беру технологиялары, инженерия, жобалық басқару, аграрлық ғылымдар, медицина, биотехнологиялар, ақпараттық технологиялар, қаржы және экономика салаларында)</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 ғылыми дәрежесінің және халықаралық маңызды ғылыми-зерттеу жұмыстарының және ізденістерінің; халықаралық танылған ғылыми институттарда, зертханаларда және әлемдік академиялық рейтингтердің алғашқы 100 (жүз) қатарына кіретін жоғары оқу орындарында кемінде он жыл жұмыс тәжірибесінің болуы</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Биоақпарат, молекулярлы биотехнология мен биоинженерия саласындағы маман (генетика, цитология, жануарлар мен өсімдіктердің селекциясы)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"Биоинженерия мен биоақпарат" саласындағы ғылым докторы ғылыми дәрежесінің немесе магистрі академиялық дәрежесінің; геномды диагностика, гендік инженерия, трансгеноз бен биотехнология әдістерін игеру бойынша біліктілігін растайтын халықаралық танылған сертификатының; халықаралық танылған ғылыми институттарда немесе зертханаларда немесе жоғары оқу орындарында зерттеулерді жүргізуде, биологиялық объектілер, салыстырмалы геномикада компьютерлік талдаудың математикалық әдістері бойынша ақпараттың үлкен ауқымын өңдеу және кейіннен талдау жүргізуде кемінде бес жыл жұмыс тәжірибесінің, сондай-ақ алгоритмдер мен бағдарламаларды әзірлеуде (мағынасы ашылған геномдар, биомолекулалардың кеңістікті құрылымдары, биологиялық объектілердің өзара іс-қимылы) жұмыс тәжірибесінің (осы тармақта жоғарыда аталған көлемде және талаптарда) болуы</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кешенді модельдеу жүйелерін мониторингтеу және цифрландыру саласындағы маман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геоақпараттық жүйелер және әртүрлі дереккөздерден алынатын ауқымды деректер саласындағы мамандығы бойынша біліктілікті растайтын халықаралық сертификаттарының; объектінің орналасқан жері туралы, географиялық және экологиялық ерекшеліктері, бедерінің пішіндері, топырақ, өсімдіктер, гидрология туралы деректерді жинау және талдау бойынша кемінде үш жыл жұмыс тәжірибесінің болуы; қашықтықтан басқарылатын автоматтандырылған ауыл шаруашылығы құралымдарын құра білуі</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саласындағы маман</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мен атағының, біліктілігін растайтын халықаралық танылған сертификатының; табиғи ресурстарды, оның ішінде ауыл шаруашылығы өнімінің айналымын, жануарлар және өсімдіктер әлемінің қорғалуын, молаюы мен пайдаланылуын мониторингтеуді автоматтандырудың бақылау және басқару жүйелері мен құралдарын алгоритмдік, ақпараттық және бағдарламалық қамтамасыз етуді жасау мен қолдану бойынша; ерекше қорғалатын табиғи аумақтарды мониторингтеу бойынша, табиғи ресурстарды, автономды жүйелерді, адамды энергияны, материалдар мен ақпаратты алу, өңдеу, беру және пайдалану процесіне тікелей қатысудан ішінара немесе толық босататын технологиялық желілер мен процестерді пайдалану және қорғау саласында есеп жүргізу бойынша кемінде үш жыл жұмыс тәжірибесінің болуы</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машинасын жасау, техниканы GPS көмегімен басқару саласындағы маман</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мен атағының, біліктілігін растайтын халықаралық танылған сертификатының; 3D модельдеуді пайдалану бойынша және ауыл шаруашылығы машиналарын жобалау мен жасау кезіндегі цифрлық бағдарламалық басқару, робот техникасын қолдану және GPS-басқарумен ауыл шаруашылығы машиналарын жасау бойынша кемінде үш жыл жұмыс тәжірибесінің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