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44cc" w14:textId="b0f4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өнеркәсібі кешені мен орман шаруашылығы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13 шілде N 964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1998 жылғы 11 қыркүйекте Мәскеу қаласында жасалған Орман 
өнеркәсібі кешені мен орман шаруашылығы саласындағы ынтымақтастық 
туралы келісім бекітілсін.
     2. Осы қаулы қол қойылған күнінен бастап күшіне енеді.
     Қазақстан Республикасының
       Премьер-Министрі
       (Келісімнің қазақша аудармасы жоқ, орысша мәтінде қараңыз)     
                              Соглашение
             о сотрудничестве в области лесопромышленного
                    комплекса и лесного хозяйства
                           Официально заверенный                           
                                 текст  
                               Соглашение
             о сотрудничестве в области лесопромышленного
                     комплекса и лесного хозяйства
     Государства-участники настоящего Соглашения в лице своих 
правительств, далее -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положениями Договора о создании Экономического союза 
от 24 сентября 1993 года и Соглашения об общих условиях и механизме 
поддержки развития производственной кооперации предприятий и отраслей 
государств- участников Содружества Независимых Государств от 23 декабря 
1993 года,
</w:t>
      </w:r>
      <w:r>
        <w:br/>
      </w:r>
      <w:r>
        <w:rPr>
          <w:rFonts w:ascii="Times New Roman"/>
          <w:b w:val="false"/>
          <w:i w:val="false"/>
          <w:color w:val="000000"/>
          <w:sz w:val="28"/>
        </w:rPr>
        <w:t>
          придавая большое значение сохранению и развитию созданного 
производственного и научно-технического потенциала, хозяйственных связей в
лесопромышленном комплексе и лесном хозяйстве,
</w:t>
      </w:r>
      <w:r>
        <w:br/>
      </w:r>
      <w:r>
        <w:rPr>
          <w:rFonts w:ascii="Times New Roman"/>
          <w:b w:val="false"/>
          <w:i w:val="false"/>
          <w:color w:val="000000"/>
          <w:sz w:val="28"/>
        </w:rPr>
        <w:t>
          признавая необходимость реализации принципов устойчивого развития 
всех типов лесов, сохранения окружающей природной среды, восстановления 
лесосырьевых ресурсов в целях обеспечения жизнедеятельности населения 
государств-участников Соглашения,
</w:t>
      </w:r>
      <w:r>
        <w:br/>
      </w:r>
      <w:r>
        <w:rPr>
          <w:rFonts w:ascii="Times New Roman"/>
          <w:b w:val="false"/>
          <w:i w:val="false"/>
          <w:color w:val="000000"/>
          <w:sz w:val="28"/>
        </w:rPr>
        <w:t>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проводят работу по координации сотрудничества в области 
лесопромышленного комплекса и лесного хозяйства и способствуют его 
развитию; принимают согласованные меры к взаимному обеспечению рынков 
сбыта лесобумажной продукцией и другими продуктами леса; способствуют 
стабилизации и дальнейшему развитию лесопромышленного комплекса и лесного 
хозяйства; обеспечению рационального использования лесосырьевых ресурсов с 
учетом сложившихся производственно-технологических связей между их 
предприятиями и организациями.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обеспечивают государственную поддержку совместных 
инвестиционных программ, создают благоприятные условия для привлечения 
инвестиций в лесопромышленный комплекс и лесное хозяйство, вырабатывают 
согласованную позицию по обеспечению совместных действий на мировом рынке 
лесобумажной продукции и других продуктов леса.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осуществляют совместные мероприятия по разработке, 
изготовлению и поставке оборудования, технологических линий н техники для 
лесопромышленного комплекса и лесного хозяйства.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координируют и проводят совместные работы в области научных 
исследований, научно-технического обеспечения, системы лесного 
мониторинга, формирования информационных систем в лесопромышленном 
комплексе и лесном хозяйстве, подготовки и повышения квалификации научных, 
инженерных и рабочих кадров.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принимают меры по выработке взаимосогласованных подходов к 
решению проблем охраны окружающей природной среды в соответствии с 
требованиями мирового сообщества по сохранению лесов и их восстановлению.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координации сотрудничества в сфере развития лесопромышленного 
комплекса и лесного хозяйства Стороны создают Межправительственный совет 
по лесопромышленному комплексу и лесному хозяйству, действующий на основе 
Положения, являющегося неотъемлемой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Реализация настоящего Соглашения осуществляется на основе 
двусторонних и многосторонних соглашений, заключаемых как Сторонами, так и 
их компетентными органами, а также на основе договоров (контрактов), 
заключаемых организациями, предприятиями и другими субъектами 
хозяйствования Сторон, независимо от форм собственности и ведомственной 
принадлежности.
</w:t>
      </w:r>
      <w:r>
        <w:br/>
      </w:r>
      <w:r>
        <w:rPr>
          <w:rFonts w:ascii="Times New Roman"/>
          <w:b w:val="false"/>
          <w:i w:val="false"/>
          <w:color w:val="000000"/>
          <w:sz w:val="28"/>
        </w:rPr>
        <w:t>
          При выборе и определении форм поддержки конкретных направлений
сотрудничества Стороны руководствуются взаимными интересами.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осуществляют сотрудничество по унификации и гармонизации 
действующих стандартов и технических условий на лесобумажную продукцию и 
другие продукты леса, по взаимному признанию сертификатов соответствия, а 
также по разработке нормативно-методических документов в области 
лесопромышленного комплекса и лесного хозяйства.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не затрагивает положений других международных 
договоров, участниками которых являются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Спорные вопросы, связанные с применением или толкованием положений 
настоящего Соглашения, разрешаются путем консультаций и переговоров 
заинтересованных Сторон. При невозможности урегулировать спорные вопросы 
путем переговоров Стороны обращаются в Экономический Суд Содружества 
Независимых Государств или иные международные суды.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общего согласия Сторон в настоящее Соглашение могут быть внесены 
изменения и дополнения, которые оформляются отдельными протоколами.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со дня подписания, а для Сторон, 
законодательство которых требует выполнения внутригосударственных 
процедур, необходимых для его вступления в силу, - со дня сдачи 
соответствующих документов депозитарию.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Через 2 месяца после вступления настоящего Соглашения в силу Стороны 
проведут совещание соответствующих национальных органов для определения 
первоочередных мер его реализации.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заключается на неопределенный срок.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12 месяцев
до выхода.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Настоящее Соглашение открыто для присоединения к нему других 
государств, разделяющих его цели и принципы, путем передачи депозитарию
документов о таком присоединении.
     Совершено в городе Москве 11 сентября 1998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Грузии                      Туркменистан 
       За Правительство                 За Правительство
     Республики Казахстан             Республики Узбекистан
     За Правительство                  За Правительство
    Кыргызской Республики                  Украины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о сотрудничестве
                                   в области лесопромышленного
                                   комплекса и лесного хозяйства
                                      от 11 сентября 1998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Межправительственном совете по лесопромышленному
</w:t>
      </w:r>
      <w:r>
        <w:br/>
      </w:r>
      <w:r>
        <w:rPr>
          <w:rFonts w:ascii="Times New Roman"/>
          <w:b w:val="false"/>
          <w:i w:val="false"/>
          <w:color w:val="000000"/>
          <w:sz w:val="28"/>
        </w:rPr>
        <w:t>
                                  комплексу и лесному хозяйству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Межправительственный совет по лесопромышленному комплексу и лесному 
хозяйству (далее - Совет) создается в целях налаживания и развития 
сотрудничества в сфере лесопромышленного комплекса и лесного хозяйства в 
рамках Соглашения о сотрудничестве в области лесопромышленного комплекса и 
лесного хозяйства (далее - Соглашение).
</w:t>
      </w:r>
      <w:r>
        <w:br/>
      </w:r>
      <w:r>
        <w:rPr>
          <w:rFonts w:ascii="Times New Roman"/>
          <w:b w:val="false"/>
          <w:i w:val="false"/>
          <w:color w:val="000000"/>
          <w:sz w:val="28"/>
        </w:rPr>
        <w:t>
          1. Совет в своей деятельности руководствуется Уставом Содружества 
Независимых Государств, Договором о создании Экономического союза, 
решениями Совета глав государств и Совета глав правительств Содружества 
Независимых Государств, Соглашением н иными межгосударственными и 
межправительственными соглашениями и решениями, настоящим Положением.
</w:t>
      </w:r>
      <w:r>
        <w:br/>
      </w:r>
      <w:r>
        <w:rPr>
          <w:rFonts w:ascii="Times New Roman"/>
          <w:b w:val="false"/>
          <w:i w:val="false"/>
          <w:color w:val="000000"/>
          <w:sz w:val="28"/>
        </w:rPr>
        <w:t>
          2. Совет осуществляет свою деятельность в тесном взаимодействии с
Межгосударственным экономическим Комитетом Экономического союза
(далее - МЭК) и другими органами Содружества Независимых Государств.
</w:t>
      </w:r>
      <w:r>
        <w:br/>
      </w:r>
      <w:r>
        <w:rPr>
          <w:rFonts w:ascii="Times New Roman"/>
          <w:b w:val="false"/>
          <w:i w:val="false"/>
          <w:color w:val="000000"/>
          <w:sz w:val="28"/>
        </w:rPr>
        <w:t>
          3. Совет является юридическим лицом с момента его регистрации в 
государстве местопребывания, имеет в собственности или в оперативном
управления обособленное имущество, может от своего имени приобретать и
осуществлять имущественные и неимущественные права, нести обязанности,
быть истцом и ответчиком в суде.
</w:t>
      </w:r>
      <w:r>
        <w:br/>
      </w:r>
      <w:r>
        <w:rPr>
          <w:rFonts w:ascii="Times New Roman"/>
          <w:b w:val="false"/>
          <w:i w:val="false"/>
          <w:color w:val="000000"/>
          <w:sz w:val="28"/>
        </w:rPr>
        <w:t>
          Совет вправе открывать счета в банках как на территории государства
местопребывания, так и за пределами его территории в валюте государства
местопребывания либо в иностранной валюте.
</w:t>
      </w:r>
      <w:r>
        <w:br/>
      </w:r>
      <w:r>
        <w:rPr>
          <w:rFonts w:ascii="Times New Roman"/>
          <w:b w:val="false"/>
          <w:i w:val="false"/>
          <w:color w:val="000000"/>
          <w:sz w:val="28"/>
        </w:rPr>
        <w:t>
          Совет имеет печать, штамп и бланки со своим наименованием.
</w:t>
      </w:r>
      <w:r>
        <w:br/>
      </w:r>
      <w:r>
        <w:rPr>
          <w:rFonts w:ascii="Times New Roman"/>
          <w:b w:val="false"/>
          <w:i w:val="false"/>
          <w:color w:val="000000"/>
          <w:sz w:val="28"/>
        </w:rPr>
        <w:t>
          4. Совет формируется из руководителей соответствующих министерств, 
ведомств или иных организаций-государств - участников Соглашения.
</w:t>
      </w:r>
      <w:r>
        <w:br/>
      </w:r>
      <w:r>
        <w:rPr>
          <w:rFonts w:ascii="Times New Roman"/>
          <w:b w:val="false"/>
          <w:i w:val="false"/>
          <w:color w:val="000000"/>
          <w:sz w:val="28"/>
        </w:rPr>
        <w:t>
          Каждое государство - участник Соглашения направляет в Совет двух 
представителей: одного - от отраслевого органа управления лесопромышленным 
комплексом и одного - от ведомства по лесному хозяйству.
</w:t>
      </w:r>
      <w:r>
        <w:br/>
      </w:r>
      <w:r>
        <w:rPr>
          <w:rFonts w:ascii="Times New Roman"/>
          <w:b w:val="false"/>
          <w:i w:val="false"/>
          <w:color w:val="000000"/>
          <w:sz w:val="28"/>
        </w:rPr>
        <w:t>
          Каждый представитель (далее - член Совета) в Совете имеет один голос.
</w:t>
      </w:r>
      <w:r>
        <w:br/>
      </w:r>
      <w:r>
        <w:rPr>
          <w:rFonts w:ascii="Times New Roman"/>
          <w:b w:val="false"/>
          <w:i w:val="false"/>
          <w:color w:val="000000"/>
          <w:sz w:val="28"/>
        </w:rPr>
        <w:t>
          5. В состав Совета входят представитель МЭК и Председатель Федерации 
профсоюзов работников лесных отраслей Содружества Независимых Государств с 
правом совещательного голоса.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Задачи и функции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Основными задачами и функциями Совета являются:
</w:t>
      </w:r>
      <w:r>
        <w:br/>
      </w:r>
      <w:r>
        <w:rPr>
          <w:rFonts w:ascii="Times New Roman"/>
          <w:b w:val="false"/>
          <w:i w:val="false"/>
          <w:color w:val="000000"/>
          <w:sz w:val="28"/>
        </w:rPr>
        <w:t>
          6.1. Выработка предложений по становлению и развитию рынка 
лесобумажной продукции и других продуктов леса государств-участников 
Соглашения, в том числе путем формирования взаимовыгодных кооперационных 
связей между их предприятиями, с учетом новых правовых и экономических 
условий.
</w:t>
      </w:r>
      <w:r>
        <w:br/>
      </w:r>
      <w:r>
        <w:rPr>
          <w:rFonts w:ascii="Times New Roman"/>
          <w:b w:val="false"/>
          <w:i w:val="false"/>
          <w:color w:val="000000"/>
          <w:sz w:val="28"/>
        </w:rPr>
        <w:t>
          6.2. Выработка согласованных мер защиты внутреннего рынка 
лесобумажной продукции и других продуктов леса на территориях 
государств-участников Соглашения.
</w:t>
      </w:r>
      <w:r>
        <w:br/>
      </w:r>
      <w:r>
        <w:rPr>
          <w:rFonts w:ascii="Times New Roman"/>
          <w:b w:val="false"/>
          <w:i w:val="false"/>
          <w:color w:val="000000"/>
          <w:sz w:val="28"/>
        </w:rPr>
        <w:t>
          6.3. Содействие сохранению и развитию созданного 
научно-производственного потенциала лесопромышленного комплекса и лесного 
хозяйства.
</w:t>
      </w:r>
      <w:r>
        <w:br/>
      </w:r>
      <w:r>
        <w:rPr>
          <w:rFonts w:ascii="Times New Roman"/>
          <w:b w:val="false"/>
          <w:i w:val="false"/>
          <w:color w:val="000000"/>
          <w:sz w:val="28"/>
        </w:rPr>
        <w:t>
          6.4. Организация разработки и реализации совместных программ 
экономического и научно-технического развития лесопромышленного комплекса 
и лесного хозяйства в рамках Соглашения.
</w:t>
      </w:r>
      <w:r>
        <w:br/>
      </w:r>
      <w:r>
        <w:rPr>
          <w:rFonts w:ascii="Times New Roman"/>
          <w:b w:val="false"/>
          <w:i w:val="false"/>
          <w:color w:val="000000"/>
          <w:sz w:val="28"/>
        </w:rPr>
        <w:t>
          6.5. Выработка предложений по развитию и размещению предприятий 
лесопромышленного комплекса государств-участников Соглашения. 
</w:t>
      </w:r>
      <w:r>
        <w:br/>
      </w:r>
      <w:r>
        <w:rPr>
          <w:rFonts w:ascii="Times New Roman"/>
          <w:b w:val="false"/>
          <w:i w:val="false"/>
          <w:color w:val="000000"/>
          <w:sz w:val="28"/>
        </w:rPr>
        <w:t>
          6.6. Содействие сохранению и восстановлению лесных запасов, создание 
условий, обеспечивающих непрерывное, неистощаемое и рациональное 
лесопользование.
</w:t>
      </w:r>
      <w:r>
        <w:br/>
      </w:r>
      <w:r>
        <w:rPr>
          <w:rFonts w:ascii="Times New Roman"/>
          <w:b w:val="false"/>
          <w:i w:val="false"/>
          <w:color w:val="000000"/>
          <w:sz w:val="28"/>
        </w:rPr>
        <w:t>
          6.7. Организация разработки и реализации взаимосогласованных подходов 
к решению проблем охраны окружающей природной среды и в соответствии с 
требованиями мирового сообщества по сохранению лесов.
</w:t>
      </w:r>
      <w:r>
        <w:br/>
      </w:r>
      <w:r>
        <w:rPr>
          <w:rFonts w:ascii="Times New Roman"/>
          <w:b w:val="false"/>
          <w:i w:val="false"/>
          <w:color w:val="000000"/>
          <w:sz w:val="28"/>
        </w:rPr>
        <w:t>
          6.8. Содействие в привлечении инвестиций и кредитов в 
лесопромышленные комплексы и лесное хозяйство государств-участников 
Соглашения, выработка рекомендаций по созданию механизмов и условий 
привлечения средств из внебюджетных источников.
</w:t>
      </w:r>
      <w:r>
        <w:br/>
      </w:r>
      <w:r>
        <w:rPr>
          <w:rFonts w:ascii="Times New Roman"/>
          <w:b w:val="false"/>
          <w:i w:val="false"/>
          <w:color w:val="000000"/>
          <w:sz w:val="28"/>
        </w:rPr>
        <w:t>
          6.9. Определение приоритетных направлении научно-исследовательских и 
опытно-конструкторских разработок, организация финансирования на долевой 
основе представляющих взаимный интерес работ, проектов, программ и т.д.
</w:t>
      </w:r>
      <w:r>
        <w:br/>
      </w:r>
      <w:r>
        <w:rPr>
          <w:rFonts w:ascii="Times New Roman"/>
          <w:b w:val="false"/>
          <w:i w:val="false"/>
          <w:color w:val="000000"/>
          <w:sz w:val="28"/>
        </w:rPr>
        <w:t>
          6.10. Участие в работе по унификации действующих стандартов и 
технических условий на лесобумажную и другую продукцию леса, а также 
нормативно-методических документов в области лесопромышленного комплекса и 
лесного хозяйства.
</w:t>
      </w:r>
      <w:r>
        <w:br/>
      </w:r>
      <w:r>
        <w:rPr>
          <w:rFonts w:ascii="Times New Roman"/>
          <w:b w:val="false"/>
          <w:i w:val="false"/>
          <w:color w:val="000000"/>
          <w:sz w:val="28"/>
        </w:rPr>
        <w:t>
          6.11. Организация информационной и рекламной деятельности, выпуск 
изданий научного, учебного и иного характера.
</w:t>
      </w:r>
      <w:r>
        <w:br/>
      </w:r>
      <w:r>
        <w:rPr>
          <w:rFonts w:ascii="Times New Roman"/>
          <w:b w:val="false"/>
          <w:i w:val="false"/>
          <w:color w:val="000000"/>
          <w:sz w:val="28"/>
        </w:rPr>
        <w:t>
          6.12. Содействие в осуществлении скоординированных мероприятий по 
подготовке и повышению квалификации кадров, организации школ и курсов 
бизнеса, маркетинга, менеджмента, распространении профессиональных знаний 
и накопленного опыта, организации выставок, семинаров, конференций, 
симпозиумов.
</w:t>
      </w:r>
      <w:r>
        <w:br/>
      </w:r>
      <w:r>
        <w:rPr>
          <w:rFonts w:ascii="Times New Roman"/>
          <w:b w:val="false"/>
          <w:i w:val="false"/>
          <w:color w:val="000000"/>
          <w:sz w:val="28"/>
        </w:rPr>
        <w:t>
          6.13. Выполнение других задач, определяемых Советом глав правительств 
Содружества Независимых Государств и МЭК.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Права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Для осуществления своих задач и функций Совет имеет право:
</w:t>
      </w:r>
      <w:r>
        <w:br/>
      </w:r>
      <w:r>
        <w:rPr>
          <w:rFonts w:ascii="Times New Roman"/>
          <w:b w:val="false"/>
          <w:i w:val="false"/>
          <w:color w:val="000000"/>
          <w:sz w:val="28"/>
        </w:rPr>
        <w:t>
          7.1. Запрашивать у соответствующих ведомств государств-участников 
Соглашения информацию, необходимую для выполнения своих задач, а также 
информацию о выполнении решений Совета.
</w:t>
      </w:r>
      <w:r>
        <w:br/>
      </w:r>
      <w:r>
        <w:rPr>
          <w:rFonts w:ascii="Times New Roman"/>
          <w:b w:val="false"/>
          <w:i w:val="false"/>
          <w:color w:val="000000"/>
          <w:sz w:val="28"/>
        </w:rPr>
        <w:t>
          7.2. Согласовывать и утверждать нормативно-методические и другие 
документы, относящиеся к компетенции Совета. 
</w:t>
      </w:r>
      <w:r>
        <w:br/>
      </w:r>
      <w:r>
        <w:rPr>
          <w:rFonts w:ascii="Times New Roman"/>
          <w:b w:val="false"/>
          <w:i w:val="false"/>
          <w:color w:val="000000"/>
          <w:sz w:val="28"/>
        </w:rPr>
        <w:t>
          7.3. Вносить в установленном порядке на рассмотрение Совета глав 
государств и Совета глав правительств Содружества, МЭК проекты документов, 
подготовленные Советом.
</w:t>
      </w:r>
      <w:r>
        <w:br/>
      </w:r>
      <w:r>
        <w:rPr>
          <w:rFonts w:ascii="Times New Roman"/>
          <w:b w:val="false"/>
          <w:i w:val="false"/>
          <w:color w:val="000000"/>
          <w:sz w:val="28"/>
        </w:rPr>
        <w:t>
          7.4. Создавать постоянные или временные рабочие и иные органы Совета, 
принимать положения о них, определять место их нахождения, порядок
деятельности и финансирования; утверждать штаты и сметы расходов; 
назначать руководителей этих органов и осуществлять контроль за их 
деятельностью.
</w:t>
      </w:r>
      <w:r>
        <w:br/>
      </w:r>
      <w:r>
        <w:rPr>
          <w:rFonts w:ascii="Times New Roman"/>
          <w:b w:val="false"/>
          <w:i w:val="false"/>
          <w:color w:val="000000"/>
          <w:sz w:val="28"/>
        </w:rPr>
        <w:t>
          7.5. Участвовать в определении источников финансирования 
межгосударственных проектов и программ.
</w:t>
      </w:r>
      <w:r>
        <w:br/>
      </w:r>
      <w:r>
        <w:rPr>
          <w:rFonts w:ascii="Times New Roman"/>
          <w:b w:val="false"/>
          <w:i w:val="false"/>
          <w:color w:val="000000"/>
          <w:sz w:val="28"/>
        </w:rPr>
        <w:t>
          7.6. Сотрудничать в вопросах, входящих в компетенцию Совета, с 
соответствующими органами государств, не являющихся участниками настоящего 
Соглашения, с другими межгосударственными, межправительственными органами 
Содружества и международными организациями.
</w:t>
      </w:r>
      <w:r>
        <w:br/>
      </w:r>
      <w:r>
        <w:rPr>
          <w:rFonts w:ascii="Times New Roman"/>
          <w:b w:val="false"/>
          <w:i w:val="false"/>
          <w:color w:val="000000"/>
          <w:sz w:val="28"/>
        </w:rPr>
        <w:t>
          7.7. Разрабатывать и утверждать Регламент своей работы, а также 
</w:t>
      </w:r>
      <w:r>
        <w:rPr>
          <w:rFonts w:ascii="Times New Roman"/>
          <w:b w:val="false"/>
          <w:i w:val="false"/>
          <w:color w:val="000000"/>
          <w:sz w:val="28"/>
        </w:rPr>
        <w:t>
</w:t>
      </w:r>
    </w:p>
    <w:p>
      <w:pPr>
        <w:spacing w:after="0"/>
        <w:ind w:left="0"/>
        <w:jc w:val="left"/>
      </w:pPr>
      <w:r>
        <w:rPr>
          <w:rFonts w:ascii="Times New Roman"/>
          <w:b w:val="false"/>
          <w:i w:val="false"/>
          <w:color w:val="000000"/>
          <w:sz w:val="28"/>
        </w:rPr>
        <w:t>
вносить в него изменения.
               IV. Организация и порядок работы Совета
     8. Работа Совета осуществляется, как правило, путем проведения его 
заседаний в государствах-участниках Соглашения.
     9. Заседания Совета проводятся по мере необходимости, но не реже
двух раз в год. Внеочередное заседание Совета может созываться по инициа-
тиве любого государства-участника Соглашения и с согласия большинства
членов Совета. 
     Заседание Совета правомочно, если на нем присутствует более половины 
его членов.
     10. Совет возглавляют председатель и заместитель председателя, 
которые избираются Советом сроком на два года в порядке ротации из числа 
членов Совета.
     Решение об избрании председателя и заместителя председателя Совета
принимается простым большинством голосов членов Совета.
     11. Государства-участники Соглашения несут расходы, связанные с
работой их представителей в Совете. Затраты на проведение заседания Совета 
финансируются из средств государства, на территории которого они 
проводятся, и иных источников, не запрещенных законодательством этого 
государства.
     12. Источниками формирования имущества Совета в денежной и иной
форме являются:
     добровольные имущественные взносы и пожертвования;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целевые ассигнования, в том числе гранты государственных, 
коммерческих и некоммерческих организаций и фондов государств Содружества 
и других стран;
</w:t>
      </w:r>
      <w:r>
        <w:br/>
      </w:r>
      <w:r>
        <w:rPr>
          <w:rFonts w:ascii="Times New Roman"/>
          <w:b w:val="false"/>
          <w:i w:val="false"/>
          <w:color w:val="000000"/>
          <w:sz w:val="28"/>
        </w:rPr>
        <w:t>
          иные поступления, не запрещенные законодательством государства
пребывания.
</w:t>
      </w:r>
      <w:r>
        <w:br/>
      </w:r>
      <w:r>
        <w:rPr>
          <w:rFonts w:ascii="Times New Roman"/>
          <w:b w:val="false"/>
          <w:i w:val="false"/>
          <w:color w:val="000000"/>
          <w:sz w:val="28"/>
        </w:rPr>
        <w:t>
          13. Член Совета имеет право получать необходимую информацию о
деятельности Совета, принятых решениях, а также вносить на обсуждение
любые вопросы в пределах компетенции Совета.
</w:t>
      </w:r>
      <w:r>
        <w:br/>
      </w:r>
      <w:r>
        <w:rPr>
          <w:rFonts w:ascii="Times New Roman"/>
          <w:b w:val="false"/>
          <w:i w:val="false"/>
          <w:color w:val="000000"/>
          <w:sz w:val="28"/>
        </w:rPr>
        <w:t>
          14. На заседания Совета могут приглашаться в качестве наблюдателей
или экспертов представители заинтересованных министерств, ведомств, 
государственных и общественных организаций и предприятий государств-
участников Соглашения, а также международных организаций.
</w:t>
      </w:r>
      <w:r>
        <w:br/>
      </w:r>
      <w:r>
        <w:rPr>
          <w:rFonts w:ascii="Times New Roman"/>
          <w:b w:val="false"/>
          <w:i w:val="false"/>
          <w:color w:val="000000"/>
          <w:sz w:val="28"/>
        </w:rPr>
        <w:t>
          15. Место проведения, дата и предварительная повестка дня очередного 
заседания Совета определяются на предшествующем заседании Совета.
</w:t>
      </w:r>
      <w:r>
        <w:br/>
      </w:r>
      <w:r>
        <w:rPr>
          <w:rFonts w:ascii="Times New Roman"/>
          <w:b w:val="false"/>
          <w:i w:val="false"/>
          <w:color w:val="000000"/>
          <w:sz w:val="28"/>
        </w:rPr>
        <w:t>
          16. Решения Совета принимаются большинством голосов членов Совета. 
Решения Совета об утверждении программ и проектов, предложений об
изменении настоящего Положения, а также о финансовых вопросах, касающихся 
сметы расходов рабочих и иных органов Совета, принимаются двумя третями 
голосов членов Совета.
</w:t>
      </w:r>
      <w:r>
        <w:br/>
      </w:r>
      <w:r>
        <w:rPr>
          <w:rFonts w:ascii="Times New Roman"/>
          <w:b w:val="false"/>
          <w:i w:val="false"/>
          <w:color w:val="000000"/>
          <w:sz w:val="28"/>
        </w:rPr>
        <w:t>
          17. Любой член Совета может заявить о своей незаинтересованности в
том или ином вопросе, что не должно рассматриваться как препятствие для
принятия решения.
</w:t>
      </w:r>
      <w:r>
        <w:br/>
      </w:r>
      <w:r>
        <w:rPr>
          <w:rFonts w:ascii="Times New Roman"/>
          <w:b w:val="false"/>
          <w:i w:val="false"/>
          <w:color w:val="000000"/>
          <w:sz w:val="28"/>
        </w:rPr>
        <w:t>
          18. Функции рабочего органа Совета выполняет соответствующее 
подразделение аппарата МЭК.
</w:t>
      </w:r>
      <w:r>
        <w:br/>
      </w:r>
      <w:r>
        <w:rPr>
          <w:rFonts w:ascii="Times New Roman"/>
          <w:b w:val="false"/>
          <w:i w:val="false"/>
          <w:color w:val="000000"/>
          <w:sz w:val="28"/>
        </w:rPr>
        <w:t>
          19. Рабочим языком Совета является русский язык.
</w:t>
      </w:r>
      <w:r>
        <w:br/>
      </w:r>
      <w:r>
        <w:rPr>
          <w:rFonts w:ascii="Times New Roman"/>
          <w:b w:val="false"/>
          <w:i w:val="false"/>
          <w:color w:val="000000"/>
          <w:sz w:val="28"/>
        </w:rPr>
        <w:t>
          20. Место пребывания Совета - Российская Федерация, г. Москва.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Порядок прекращения деятельности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Совет прекращает свою деятельность по решению глав правительств 
государств-участников Соглашения.
</w:t>
      </w:r>
      <w:r>
        <w:br/>
      </w:r>
      <w:r>
        <w:rPr>
          <w:rFonts w:ascii="Times New Roman"/>
          <w:b w:val="false"/>
          <w:i w:val="false"/>
          <w:color w:val="000000"/>
          <w:sz w:val="28"/>
        </w:rPr>
        <w:t>
          В случае прекращения деятельности Совета финансовые и иные вопросы 
решаются ликвидационной комиссией, создаваемой государствами-участниками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Особое мнение Грузии
</w:t>
      </w:r>
      <w:r>
        <w:br/>
      </w:r>
      <w:r>
        <w:rPr>
          <w:rFonts w:ascii="Times New Roman"/>
          <w:b w:val="false"/>
          <w:i w:val="false"/>
          <w:color w:val="000000"/>
          <w:sz w:val="28"/>
        </w:rPr>
        <w:t>
          к проекту Соглашения о сотрудничестве в области лесопромышленного 
комплекса и лесного хозяйства  
</w:t>
      </w:r>
      <w:r>
        <w:br/>
      </w:r>
      <w:r>
        <w:rPr>
          <w:rFonts w:ascii="Times New Roman"/>
          <w:b w:val="false"/>
          <w:i w:val="false"/>
          <w:color w:val="000000"/>
          <w:sz w:val="28"/>
        </w:rPr>
        <w:t>
          Грузия, в целом, одобряет представленный проект Соглашения,
но вместе с тем, имеет следующие замечания:
</w:t>
      </w:r>
      <w:r>
        <w:br/>
      </w:r>
      <w:r>
        <w:rPr>
          <w:rFonts w:ascii="Times New Roman"/>
          <w:b w:val="false"/>
          <w:i w:val="false"/>
          <w:color w:val="000000"/>
          <w:sz w:val="28"/>
        </w:rPr>
        <w:t>
          - из статьи 2 исключить слова "вырабатывают согласованную позицию по 
обеспечению совместных действий на мировом рынке лесобумажной продукции и 
других продуктов леса";
</w:t>
      </w:r>
      <w:r>
        <w:br/>
      </w:r>
      <w:r>
        <w:rPr>
          <w:rFonts w:ascii="Times New Roman"/>
          <w:b w:val="false"/>
          <w:i w:val="false"/>
          <w:color w:val="000000"/>
          <w:sz w:val="28"/>
        </w:rPr>
        <w:t>
          - исключить статью 6;
</w:t>
      </w:r>
      <w:r>
        <w:br/>
      </w:r>
      <w:r>
        <w:rPr>
          <w:rFonts w:ascii="Times New Roman"/>
          <w:b w:val="false"/>
          <w:i w:val="false"/>
          <w:color w:val="000000"/>
          <w:sz w:val="28"/>
        </w:rPr>
        <w:t>
          - из статьи 8 исключить слова "унификации 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Настоящим удостоверяю, что прилагаемый текст является  аутентичной 
копией Соглашения о сотрудничестве в области лесопромышленного комплекса и 
лесного хозяйства, принятого 11 сентября 1998 года в городе Москве во 
исполнение Решения о делегировании полномочий на принятие окончательных 
решений по отдельным проектам документов от имени Совета глав правительств 
Содружества Независимых Государств Президиуму Межгосударственного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экономического Комитета Экономического союза и Совету министров 
иностранных дел государств-членов Содружества Независимых Государств от 6 
марта 1998 года, город Москва. Подлинный экземпляр вышеупомянутого 
Соглашения хранится в Исполнительном Секретариате Содружества Независимых 
Государств.
     Заместитель
     Исполнительного секретаря     
     Содружества 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