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89ee4" w14:textId="ad89ee4">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төмендетуге бағытталған шараларды бекіту туралы</w:t>
      </w:r>
    </w:p>
    <w:p>
      <w:pPr>
        <w:spacing w:after="0"/>
        <w:ind w:left="0"/>
        <w:jc w:val="both"/>
      </w:pPr>
      <w:r>
        <w:rPr>
          <w:rFonts w:ascii="Times New Roman"/>
          <w:b w:val="false"/>
          <w:i w:val="false"/>
          <w:color w:val="000000"/>
          <w:sz w:val="28"/>
        </w:rPr>
        <w:t>Қазақстан Республикасы Үкіметінің 2025 жылғы 7 қарашадағы № 934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11-1-бабының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төмендетуге бағытталған </w:t>
      </w:r>
      <w:r>
        <w:rPr>
          <w:rFonts w:ascii="Times New Roman"/>
          <w:b w:val="false"/>
          <w:i w:val="false"/>
          <w:color w:val="000000"/>
          <w:sz w:val="28"/>
        </w:rPr>
        <w:t>шаралар</w:t>
      </w:r>
      <w:r>
        <w:rPr>
          <w:rFonts w:ascii="Times New Roman"/>
          <w:b w:val="false"/>
          <w:i w:val="false"/>
          <w:color w:val="000000"/>
          <w:sz w:val="28"/>
        </w:rPr>
        <w:t xml:space="preserve"> (бұдан әрі – шаралар) бекітілсін.</w:t>
      </w:r>
    </w:p>
    <w:bookmarkEnd w:id="1"/>
    <w:bookmarkStart w:name="z6" w:id="2"/>
    <w:p>
      <w:pPr>
        <w:spacing w:after="0"/>
        <w:ind w:left="0"/>
        <w:jc w:val="both"/>
      </w:pPr>
      <w:r>
        <w:rPr>
          <w:rFonts w:ascii="Times New Roman"/>
          <w:b w:val="false"/>
          <w:i w:val="false"/>
          <w:color w:val="000000"/>
          <w:sz w:val="28"/>
        </w:rPr>
        <w:t>
      2. Орталық атқарушы органдар, Қазақстан Республикасының Президентіне тікелей бағынатын және есеп беретін мемлекеттік органдар (келісу бойынша), өзге де ұйымдар (келісу бойынша) шаралардың уақтылы орындалуын қамтамасыз етсін, сондай-ақ жартыжылдықта бір рет, есепті кезеңнен кейінгі айдың 5-і күнінен кешіктірмей, Қазақстан Республикасының Қаржылық мониторинг агенттігіне олардың іске асырылу барысы туралы ақпарат беріп тұрсын.</w:t>
      </w:r>
    </w:p>
    <w:bookmarkEnd w:id="2"/>
    <w:bookmarkStart w:name="z7" w:id="3"/>
    <w:p>
      <w:pPr>
        <w:spacing w:after="0"/>
        <w:ind w:left="0"/>
        <w:jc w:val="both"/>
      </w:pPr>
      <w:r>
        <w:rPr>
          <w:rFonts w:ascii="Times New Roman"/>
          <w:b w:val="false"/>
          <w:i w:val="false"/>
          <w:color w:val="000000"/>
          <w:sz w:val="28"/>
        </w:rPr>
        <w:t>
      3. Қазақстан Республикасының Қаржылық мониторинг агенттігі (келісу бойынша) жарты жылда бір рет, есепті кезеңнен кейінгі айдың 20-ы күнінен кешіктірмей, Қазақстан Республикасы Үкіметінің Аппаратына шаралардың іске асырылу барысы туралы жиынтық ақпарат беріп тұрсын.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бірақ ерте дегенде 2025 жылғы 20 қарашада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7 қарашадағы</w:t>
            </w:r>
            <w:r>
              <w:br/>
            </w:r>
            <w:r>
              <w:rPr>
                <w:rFonts w:ascii="Times New Roman"/>
                <w:b w:val="false"/>
                <w:i w:val="false"/>
                <w:color w:val="000000"/>
                <w:sz w:val="20"/>
              </w:rPr>
              <w:t>№ 934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төмендетуге бағытталған шаралар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(жоба үшін)/Аяқтау нысаны (іс-шара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 шығыстар (мың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шығару және қолма-қол ақшаға айналдыру схемаларында жалған тұлғаларды (дроп) пайдалану типологиясын әзірлеу, сондай-ақ типологияны практикалық қызметті есепке алу және ішкі бақылау шараларын күшейту үшін ЕДБ-ге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үшін дроптардың белгілері бар операциялар бойынша күдіктілік белгілерін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2022 жылғы 22 ақпандағы № 13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2026 жылғы</w:t>
            </w:r>
          </w:p>
          <w:bookmarkEnd w:id="6"/>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қаржы ұйымдарының қатысуымен "Дроп</w:t>
            </w:r>
            <w:r>
              <w:rPr>
                <w:rFonts w:ascii="Times New Roman"/>
                <w:b w:val="false"/>
                <w:i w:val="false"/>
                <w:color w:val="000000"/>
                <w:vertAlign w:val="superscript"/>
              </w:rPr>
              <w:t>1</w:t>
            </w:r>
            <w:r>
              <w:rPr>
                <w:rFonts w:ascii="Times New Roman"/>
                <w:b w:val="false"/>
                <w:i w:val="false"/>
                <w:color w:val="000000"/>
                <w:sz w:val="20"/>
              </w:rPr>
              <w:t xml:space="preserve"> болма!" атты ақпараттық науқан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бірақ жарты жылда кемінде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ІІМ,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схемаларын анықтау мақсатында жалған сыртқы экономикалық шарттар бойынша ақшаны шетелге шығарумен байланысты операцияларға стратегиялық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нақты әкелгенге дейін 100 % алдын ала төлемді көздейтін сыртқы экономикалық келісімшарттарға салықтық бақылауды күшейту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Аппаратына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үшін капиталды жалған экспорттық-импорттық шарттар арқылы шығарумен; жұмыстарды іс жүзінде орындамай, қызметтер көрсетпей немесе тауарларды жөнелтпей, шот-фактура жазумен байланысты операциялардың экономикалық орындылығын болуын анықтау және талдау бойынша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 қолма-қол ақшаға айналдыру жөніндегі операциялардың ҚМА-ға ақпарат түспейтін түрлеріне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қолма-қол ақшаға айналдыруды есептеу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2026 жылғы</w:t>
            </w:r>
          </w:p>
          <w:bookmarkEnd w:id="7"/>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қолма-қол ақшаға айналдыру бойынша есепке алу нысандарын әзірлеу және статистиканы жүргізуді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2026 жылғы</w:t>
            </w:r>
          </w:p>
          <w:bookmarkEnd w:id="8"/>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 (келісу бойынша),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есептеу әдістемесі негізінде қылмыстық жолмен алынған ақшаны қолма-қол ақшаға айналдыру көлеміне тұрақты мониторинг жүргізу механизмін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 үшін ақшаны қолма-қол ақшаға айналдырумен байланысты операциялар бойынша күдіктілік белгілерін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2022 жылғы 22 ақпандағы № 13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2026 жылғы</w:t>
            </w:r>
          </w:p>
          <w:bookmarkEnd w:id="9"/>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қарыздарды анықтау және оларға қарсы іс-қимыл мақсатында клиенттердің мәмілелері бойынша, соның ішінде қарыз берумен, олардың сомаларымен, өтеу кестелерімен және қаржыландыру көздерімен байланысты мәмілелер бойынша ЕДБ үшін күдіктілік белгілерін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2022 жылғы 22 ақпандағы № 13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2026 жылғы</w:t>
            </w:r>
          </w:p>
          <w:bookmarkEnd w:id="10"/>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ҚНРДА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қызметкерлері үшін қолма-қол ақшалай қаражатты өткізу кезінде КЖ белгілерін тану бойынша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аумағында цифрлық активтерді пайдаланумен байланысты КЖ/ТҚ ТСБ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ТСБ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2026 жылғы</w:t>
            </w:r>
          </w:p>
          <w:bookmarkEnd w:id="11"/>
          <w:p>
            <w:pPr>
              <w:spacing w:after="20"/>
              <w:ind w:left="20"/>
              <w:jc w:val="both"/>
            </w:pPr>
            <w:r>
              <w:rPr>
                <w:rFonts w:ascii="Times New Roman"/>
                <w:b w:val="false"/>
                <w:i w:val="false"/>
                <w:color w:val="000000"/>
                <w:sz w:val="20"/>
              </w:rPr>
              <w:t>
ақпан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(келісу бойынша), ҚМА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қылмыстық мақсатта пайдаланумен байланысты қылмыстық істердің статистикалық есебін қылмыстық құқық бұзушылықтардың түрлерін нақтылай отырып және операциялардың көлемдерін көрсете отырып жүргізуді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2026 жылғы</w:t>
            </w:r>
          </w:p>
          <w:bookmarkEnd w:id="12"/>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 (келісу бойынша), ҚМА (келісу бойынша), ІІМ,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юрисдикцияларда тіркелген лицензияланбаған ЦАҚП-ты Қазақстан Республикасының аумағында қызметін жүзеге асырғаны үшін жауаптылыққа тарту мәселесін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2026 жылғы</w:t>
            </w:r>
          </w:p>
          <w:bookmarkEnd w:id="13"/>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АХҚО (келісу бойынша), Қаржымині,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заңсыз айналымымен байланысты операцияларды анықтау бойынша күдікті операциялардың өлшемшарттарын өзектендіру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2022 жылғы 22 ақпандағы № 13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2026 жылғы</w:t>
            </w:r>
          </w:p>
          <w:bookmarkEnd w:id="14"/>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ЖИЦДМ, АХҚО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активтердің заңсыз айналымымен байланысты операцияларды анықтау жөніндегі типологияны өзектендіру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ЖИЦДМ, АХҚО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жұмыстарына сарапшыларды тарта отырып, медиа және әлеуметтік желілер арқылы цифрлық активтерді пайдалана отырып КЖ/ТҚ тәуекелдері туралы ауқымды ақпараттық науқан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 әлеуметтік желілерде жарияланымдар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ҚМА (келісу бойынша), ЖИЦДМ, АХҚО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үшін криптовалютаны пайдалана отырып КЖ/ТҚ тәуекелдері туралы хабардарлық деңгейін арттыру бойынша семинарлар мен курстар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Academy (келісу бойынша), ҚМА (келісу бойынша), ЖИЦДМ, АХҚО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Мобильдік құрылғыларға арналған бағдарламалық қамтылымдарды (AppStore және PlayMarket) таратудың цифрлық платформаларында орналасқан Қазақстан Республикасында лицензияланбаған ЦАҚП қосымшаларын бұғаттауды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бұғаттау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2026 жылғы</w:t>
            </w:r>
          </w:p>
          <w:bookmarkEnd w:id="15"/>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ЖИЦДМ, ҰҚК (келісу бойынша), АХҚО (келісу бойынша),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крипто-әмияндар тізілімін қалыптастыруды регламенттейтін бірлескен бұйрықты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әмияндардың тізілімі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2026 жылғы</w:t>
            </w:r>
          </w:p>
          <w:bookmarkEnd w:id="16"/>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ҰҚК (келісу бойынша), ІІМ, АХҚО (келісу бойынша), ЖИЦДМ, ҰБ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КЖ-нің әлеуетті тәуекелдерін анықтау мақсатында ақпарат ҚМА-ға жолданатын жылжымайтын мүлікпен жасалатын нотариаттық мәмілелерге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 үшін ауданды, жылжымайтын мүлік түрін, ауданын және басқа параметрлерді ескере отырып, жылжымайтын мүліктің нарықтық бағасын қадағалау бөлігінде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2026 жылғы</w:t>
            </w:r>
          </w:p>
          <w:bookmarkEnd w:id="17"/>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объектілерінің нақты иелерінің және мәмілелерді қаржыландыру көздерінің сәйкестігін тексеру бойынша ішкі рәсімдерді ерікті түрде енгізуге жәрдемдесу мақсатында ЕДБ және риэлторлар үшін жылжымайтын мүлікпен жасалатын операциялармен байланысты тәуекелдер туралы хабардарлықты арттыруға бағытталған әдістемелік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КЖ-мен байланысты жылжымайтын мүлік туралы деректерді жинау және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секторының қылмыстық схемаларға осал тұстарын бағалау үшін негізгі индикаторларды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Декларацияланған немесе расталған заңды кірістер болмаған кезде элиталық жылжымайтын мүлік сатып алу арқылы негізсіз байлық белгілерін анықтау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2026 жылғы</w:t>
            </w:r>
          </w:p>
          <w:bookmarkEnd w:id="18"/>
          <w:p>
            <w:pPr>
              <w:spacing w:after="20"/>
              <w:ind w:left="20"/>
              <w:jc w:val="both"/>
            </w:pPr>
            <w:r>
              <w:rPr>
                <w:rFonts w:ascii="Times New Roman"/>
                <w:b w:val="false"/>
                <w:i w:val="false"/>
                <w:color w:val="000000"/>
                <w:sz w:val="20"/>
              </w:rPr>
              <w:t>
қазан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байлық белгілері және расталған кірістер болмаған кезде сатып алынған элиталық жылжымайтын мүлік объектілерінің статистикалық есебін жүргізуді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 (келісу бойынша), ҚМА (келісу бойынша), ІІМ, ҰҚК (келісу бойынша), БП АҚК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КЖ-нің әлеуетті тәуекелдерін анықтау мақсатында олар бойынша ҚМА-ға ақпарат жіберілмейтін бағалы металдармен, тастармен және олардан жасалған зергерлік бұйымдармен жасалатын мәмілелерге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ресми кірістерін салыстыруға, сондай-ақ клиенттерді және мәмілелерді қаржыландыру көздерін тексеру рәсімдерін күшейтуге бағытталған тексерулерді жүргізу бойынша ішкі рәсімдерді ерікті енгізуге жәрдемдесу мақсатында бағалы металдардың, тастардың және зергерлік компаниялардың операторлары үшін әдістемелік ұсынымдарды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тастардың операторларының және зергерлік компаниялардың қызметінде бағалы металдарды, тастар мен зергерлік бұйымдарды криминалдық жолмен пайдалану, сондай-ақ қолма-қол қаражат көлемінің статистикасын есептеу әдістемесін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тастардың операторларының және зергерлік компаниялардың қызметінде бағалы металдарды, тастар мен зергерлік бұйымдарды криминалдық жолмен пайдалану, сондай-ақ қолма-қол қаражат көлемін есепке алу нысандарын әзірлеу және статистикасын жүргізуді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 (келісу бойынша),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жағдайларда ҚМА-ға хабарламаларды жіберу міндеттілігі туралы бағалы металдардың операторларын хабардар ету жөніндегі жұмысты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туралы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Сән-салтанатты заттармен операциялар жасау үшін бірегей кодты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2022 жылғы 22 ақпандағы № 13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Салық кодексіне түзетулердің күшіне ену қорытындылары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Сән-салтанатты заттарды сатып алумен және сатумен байланысты мәмілелерге мониторингті күшейту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сатып алу-сатумен байланысты операциялар бойынша күдіктілік белгілерін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2022 жылғы 22 ақпандағы № 13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2026 жылғы</w:t>
            </w:r>
          </w:p>
          <w:bookmarkEnd w:id="19"/>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ФАТФ-тің жаңартылған 24-Ұ. және 25-Ұ. сәйкес КЖ қылмыстық схемаларында ЗТ-ны және шетелдік құрылымдарды ЗТ құрмай пайдалануға ТСБ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ТСБ есебі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2026 жылғы</w:t>
            </w:r>
          </w:p>
          <w:bookmarkEnd w:id="20"/>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Қаржымині, "Азаматтарға арналған үкімет" мемлекеттік корпорациясы" КЕАҚ (келісу бойынша),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 мақсатында ЗТ құрмай шетелдік құрылымдарды, ЗТ-ны ықтимал пайдаланумен байланысты операциялар бойынша күдіктілік белгілерін айқындау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2022 жылғы 22 ақпандағы № 13 бұйрығына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2026 жылғы</w:t>
            </w:r>
          </w:p>
          <w:bookmarkEnd w:id="21"/>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Тәуекелге бейімделген тәсіл негізінде ЗТ-ны КЖ-ға тарту тәуекелдерін бағалау үшін олардың профилін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2026 жылғы</w:t>
            </w:r>
          </w:p>
          <w:bookmarkEnd w:id="22"/>
          <w:p>
            <w:pPr>
              <w:spacing w:after="20"/>
              <w:ind w:left="20"/>
              <w:jc w:val="both"/>
            </w:pPr>
            <w:r>
              <w:rPr>
                <w:rFonts w:ascii="Times New Roman"/>
                <w:b w:val="false"/>
                <w:i w:val="false"/>
                <w:color w:val="000000"/>
                <w:sz w:val="20"/>
              </w:rPr>
              <w:t>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Трасттарды КЖ қылмыстық мақсаттары үшін пайдаланумен байланысты типологияларды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2026 жылғы</w:t>
            </w:r>
          </w:p>
          <w:bookmarkEnd w:id="23"/>
          <w:p>
            <w:pPr>
              <w:spacing w:after="20"/>
              <w:ind w:left="20"/>
              <w:jc w:val="both"/>
            </w:pPr>
            <w:r>
              <w:rPr>
                <w:rFonts w:ascii="Times New Roman"/>
                <w:b w:val="false"/>
                <w:i w:val="false"/>
                <w:color w:val="000000"/>
                <w:sz w:val="20"/>
              </w:rPr>
              <w:t>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АХҚО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аппараттық-бағдарламалық кешендерін интеграциялау арқылы беруге жататын мәліметтерді кеңейту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 төрағасының 2024 жылғы 6 желтоқсандағы № 9 бұйрығына толықтыру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ТСМ, ЖИЦДМ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ЖҚҚТҚ-ның алдын алу және ЖҚҚТҚ-ға қарсы іс-қимылдың реттеуші механизмдерін жетілдіру бойынша тиімді стратегияны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 жылдарға арналған іс-шаралар жоспары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2027 жылғы</w:t>
            </w:r>
          </w:p>
          <w:bookmarkEnd w:id="24"/>
          <w:p>
            <w:pPr>
              <w:spacing w:after="20"/>
              <w:ind w:left="20"/>
              <w:jc w:val="both"/>
            </w:pPr>
            <w:r>
              <w:rPr>
                <w:rFonts w:ascii="Times New Roman"/>
                <w:b w:val="false"/>
                <w:i w:val="false"/>
                <w:color w:val="000000"/>
                <w:sz w:val="20"/>
              </w:rPr>
              <w:t>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(келісу бойынша), ӨҚМ, ҚМА (келісу бойынша), ҰҚК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ЖҚҚТҚ-ға қарсы іс-қимыл мәселелері бойынша оқыту курсын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курсы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наурыз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Academy (келісу бойынша), ҚМА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31" w:id="25"/>
    <w:p>
      <w:pPr>
        <w:spacing w:after="0"/>
        <w:ind w:left="0"/>
        <w:jc w:val="both"/>
      </w:pPr>
      <w:r>
        <w:rPr>
          <w:rFonts w:ascii="Times New Roman"/>
          <w:b w:val="false"/>
          <w:i w:val="false"/>
          <w:color w:val="000000"/>
          <w:sz w:val="28"/>
        </w:rPr>
        <w:t>
      _________________________</w:t>
      </w:r>
    </w:p>
    <w:bookmarkEnd w:id="25"/>
    <w:bookmarkStart w:name="z32" w:id="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Дроп – үшінші тұлғаға өзінің банктік шотына және (немесе) электрондық төлем құралына қолжетімділік берген, сол сияқты өзінің төлем құралдарын үшінші тұлғаға, оның ішінде олардың құқыққа қарсы операцияларда рұқсатсыз пайдаланылуына әкеп соққан материалдық сыйақы үшін пайдалануға берген адам</w:t>
      </w:r>
    </w:p>
    <w:bookmarkEnd w:id="26"/>
    <w:p>
      <w:pPr>
        <w:spacing w:after="0"/>
        <w:ind w:left="0"/>
        <w:jc w:val="both"/>
      </w:pPr>
      <w:r>
        <w:rPr>
          <w:rFonts w:ascii="Times New Roman"/>
          <w:b/>
          <w:i w:val="false"/>
          <w:color w:val="000000"/>
          <w:sz w:val="28"/>
        </w:rPr>
        <w:t>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АҚК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прокуратурасының Активтерді қайтару жөніндегі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ЖҚҚТҚ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қырып-жою қаруын таратуды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жылыстату/терроризмді қаржыландыру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КЖ/ТҚҚ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Мәдениет және ақпарат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секторлық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Туризм және спорт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жылыстатуға қарсы күрестің қаржылық шараларын әзірлеу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ЦАҚП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қызметтерінің провайдерлері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Academy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AML Academy қаржылық мониторинг академиясы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