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2ba28" w14:textId="492ba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2021 жылғы 7 шiлдедегi № 466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және ресми жариялануға тиіс.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7 шілдедегі</w:t>
            </w:r>
            <w:r>
              <w:br/>
            </w:r>
            <w:r>
              <w:rPr>
                <w:rFonts w:ascii="Times New Roman"/>
                <w:b w:val="false"/>
                <w:i w:val="false"/>
                <w:color w:val="000000"/>
                <w:sz w:val="20"/>
              </w:rPr>
              <w:t>№ 466 қаулысына</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
    <w:bookmarkStart w:name="z6" w:id="4"/>
    <w:p>
      <w:pPr>
        <w:spacing w:after="0"/>
        <w:ind w:left="0"/>
        <w:jc w:val="both"/>
      </w:pPr>
      <w:r>
        <w:rPr>
          <w:rFonts w:ascii="Times New Roman"/>
          <w:b w:val="false"/>
          <w:i w:val="false"/>
          <w:color w:val="000000"/>
          <w:sz w:val="28"/>
        </w:rPr>
        <w:t xml:space="preserve">
      1. "Қазақстан Республикасы құрылыс саласының нормативтік базасын реформалау жөніндегі тұжырымдаманы бекіту туралы" Қазақстан Республикасы Үкіметінің 2013 жылғы 31 желтоқсандағы № 1509 </w:t>
      </w:r>
      <w:r>
        <w:rPr>
          <w:rFonts w:ascii="Times New Roman"/>
          <w:b w:val="false"/>
          <w:i w:val="false"/>
          <w:color w:val="000000"/>
          <w:sz w:val="28"/>
        </w:rPr>
        <w:t>қаулысы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"Қазақстан Республикасы Үкіметінің кейбір шешімдеріне өзгерістер мен толықтырулар енгізу және кейбір шешімдері мен "Ықтимал жер сілкіністері аймақтарында құтқару және басқа да шұғыл жұмыстарды ұйымдастыру мен жүргізу тәртібі туралы" Қазақстан Республикасы Премьер-Министрінің 2011 жылғы 7 сәуірдегі № 44-ө өкімінің күші жойылды деп тану туралы" Қазақстан Республикасы Үкіметінің 2015 жылғы 2 сәуірдегі № 173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18-тармағы</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өзгерістер мен толықтырулар енгізу және Қазақстан Республикасы Үкіметінің кейбір шешімдерінің күші жойылды деп тану туралы" Қазақстан Республикасы Үкіметінің 2016 жылғы 29 желтоқсандағы № 904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