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976c" w14:textId="c169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орындарының ерекше мәртебесі туралы ережені бекіту туралы" Қазақстан Республикасы Үкіметінің 2017 жылғы 14 ақпандағы № 66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13 маусымдағы № 397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"Жоғары оқу орындарының ерекше мәртебесі туралы ережені бекіту туралы" Қазақстан Республикасы Үкіметінің 2017 жылғы 14 ақпандағы № 66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5, 38-құжат)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ерекше мәртебесі туралы ережені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Жоғары және (немесе) жоғары оқу орнынан кейінгі білім беру ұйымдарының ерекше мәртебесі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Жоғары және (немесе) жоғары оқу орнынан кейінгі білім беру ұйымдарының ерекше мәртебесі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маусымдағы</w:t>
            </w:r>
            <w:r>
              <w:br/>
            </w:r>
            <w:r>
              <w:rPr>
                <w:rFonts w:ascii="Times New Roman"/>
                <w:b w:val="false"/>
                <w:i w:val="false"/>
                <w:color w:val="000000"/>
                <w:sz w:val="20"/>
              </w:rPr>
              <w:t>№ 397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14 ақпандағы</w:t>
            </w:r>
            <w:r>
              <w:br/>
            </w:r>
            <w:r>
              <w:rPr>
                <w:rFonts w:ascii="Times New Roman"/>
                <w:b w:val="false"/>
                <w:i w:val="false"/>
                <w:color w:val="000000"/>
                <w:sz w:val="20"/>
              </w:rPr>
              <w:t>№ 66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ерекше мәртебесі туралы ереже</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ерекше мәртебесі туралы ереже "Білім туралы" 2007 жылғы 27 шілдедегі Қазақстан Республикасы Заңының 4-бабының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әзiрленген.</w:t>
      </w:r>
    </w:p>
    <w:bookmarkEnd w:id="9"/>
    <w:bookmarkStart w:name="z13" w:id="10"/>
    <w:p>
      <w:pPr>
        <w:spacing w:after="0"/>
        <w:ind w:left="0"/>
        <w:jc w:val="both"/>
      </w:pPr>
      <w:r>
        <w:rPr>
          <w:rFonts w:ascii="Times New Roman"/>
          <w:b w:val="false"/>
          <w:i w:val="false"/>
          <w:color w:val="000000"/>
          <w:sz w:val="28"/>
        </w:rPr>
        <w:t>
      2. Қазақстан Республикасының Үкіметі Қазақстан Республикасының Президентіне жоғары және (немесе) жоғары оқу орнынан кейінгі білім беру ұйымдарына ерекше мәртебе беру туралы ұсыныс енгізеді.</w:t>
      </w:r>
    </w:p>
    <w:bookmarkEnd w:id="10"/>
    <w:bookmarkStart w:name="z14" w:id="11"/>
    <w:p>
      <w:pPr>
        <w:spacing w:after="0"/>
        <w:ind w:left="0"/>
        <w:jc w:val="both"/>
      </w:pPr>
      <w:r>
        <w:rPr>
          <w:rFonts w:ascii="Times New Roman"/>
          <w:b w:val="false"/>
          <w:i w:val="false"/>
          <w:color w:val="000000"/>
          <w:sz w:val="28"/>
        </w:rPr>
        <w:t>
      3.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bookmarkEnd w:id="11"/>
    <w:bookmarkStart w:name="z15" w:id="12"/>
    <w:p>
      <w:pPr>
        <w:spacing w:after="0"/>
        <w:ind w:left="0"/>
        <w:jc w:val="both"/>
      </w:pPr>
      <w:r>
        <w:rPr>
          <w:rFonts w:ascii="Times New Roman"/>
          <w:b w:val="false"/>
          <w:i w:val="false"/>
          <w:color w:val="000000"/>
          <w:sz w:val="28"/>
        </w:rPr>
        <w:t>
      4. Ерекше мәртебесi бар жоғары және (немесе) жоғары оқу орнынан кейінгі білім беру ұйымдарының ректорлары заңнамада белгiленген тәртiппен қызметке тағайындалады және қызметтен босатылады.</w:t>
      </w:r>
    </w:p>
    <w:bookmarkEnd w:id="12"/>
    <w:bookmarkStart w:name="z16" w:id="13"/>
    <w:p>
      <w:pPr>
        <w:spacing w:after="0"/>
        <w:ind w:left="0"/>
        <w:jc w:val="left"/>
      </w:pPr>
      <w:r>
        <w:rPr>
          <w:rFonts w:ascii="Times New Roman"/>
          <w:b/>
          <w:i w:val="false"/>
          <w:color w:val="000000"/>
        </w:rPr>
        <w:t xml:space="preserve"> 2-тарау. Ерекше мәртебесi бар жоғары және (немесе) жоғары оқу орнынан кейінгі білім беру ұйымдарының өкiлеттiгi</w:t>
      </w:r>
    </w:p>
    <w:bookmarkEnd w:id="13"/>
    <w:bookmarkStart w:name="z17" w:id="14"/>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ұйымдарының құзыретіне:</w:t>
      </w:r>
    </w:p>
    <w:bookmarkEnd w:id="14"/>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12) ішкі тәртіптеме қағидаларын әзірлеу және бекіту;</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14) оқытудың жаңа технологияларын, оның ішінде кредиттік оқыту технологиясын және қашықтықтан білім беру технологияларын енгізу;</w:t>
      </w:r>
    </w:p>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аралық және қорытынды аттестаттауды өткізу;</w:t>
      </w:r>
    </w:p>
    <w:p>
      <w:pPr>
        <w:spacing w:after="0"/>
        <w:ind w:left="0"/>
        <w:jc w:val="both"/>
      </w:pPr>
      <w:r>
        <w:rPr>
          <w:rFonts w:ascii="Times New Roman"/>
          <w:b w:val="false"/>
          <w:i w:val="false"/>
          <w:color w:val="000000"/>
          <w:sz w:val="28"/>
        </w:rPr>
        <w:t>
      16)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17) қаржылық-шаруашылық және материалдық-техникалық қамтамасыз ету, оның ішінде жабдықтармен жарақтандыру;</w:t>
      </w:r>
    </w:p>
    <w:p>
      <w:pPr>
        <w:spacing w:after="0"/>
        <w:ind w:left="0"/>
        <w:jc w:val="both"/>
      </w:pPr>
      <w:r>
        <w:rPr>
          <w:rFonts w:ascii="Times New Roman"/>
          <w:b w:val="false"/>
          <w:i w:val="false"/>
          <w:color w:val="000000"/>
          <w:sz w:val="28"/>
        </w:rPr>
        <w:t>
      18) кадрларды кәсіптік даярлаудың заманауи нысандарын енгізу;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w:t>
      </w:r>
    </w:p>
    <w:p>
      <w:pPr>
        <w:spacing w:after="0"/>
        <w:ind w:left="0"/>
        <w:jc w:val="both"/>
      </w:pPr>
      <w:r>
        <w:rPr>
          <w:rFonts w:ascii="Times New Roman"/>
          <w:b w:val="false"/>
          <w:i w:val="false"/>
          <w:color w:val="000000"/>
          <w:sz w:val="28"/>
        </w:rPr>
        <w:t>
      20)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w:t>
      </w:r>
    </w:p>
    <w:p>
      <w:pPr>
        <w:spacing w:after="0"/>
        <w:ind w:left="0"/>
        <w:jc w:val="both"/>
      </w:pPr>
      <w:r>
        <w:rPr>
          <w:rFonts w:ascii="Times New Roman"/>
          <w:b w:val="false"/>
          <w:i w:val="false"/>
          <w:color w:val="000000"/>
          <w:sz w:val="28"/>
        </w:rPr>
        <w:t>
      21) білім беру саласындағы уәкілетті орган айқындаған тәртіпке сәйкес философия докторы (PhD) және бейіні бойынша доктор дәрежелерін тағайындау;</w:t>
      </w:r>
    </w:p>
    <w:p>
      <w:pPr>
        <w:spacing w:after="0"/>
        <w:ind w:left="0"/>
        <w:jc w:val="both"/>
      </w:pPr>
      <w:r>
        <w:rPr>
          <w:rFonts w:ascii="Times New Roman"/>
          <w:b w:val="false"/>
          <w:i w:val="false"/>
          <w:color w:val="000000"/>
          <w:sz w:val="28"/>
        </w:rPr>
        <w:t>
      22) білім туралы өзіндік үлгідегі құжаттарды беру жатады.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2-тармағының 2), 3), 6), 9), 10), 11) және 15) тармақшаларында көзделген құзыреті Сот төрелігі академиясына, әскери, арнаулы оқу орындарына қолданылмайды</w:t>
      </w:r>
    </w:p>
    <w:bookmarkStart w:name="z18" w:id="15"/>
    <w:p>
      <w:pPr>
        <w:spacing w:after="0"/>
        <w:ind w:left="0"/>
        <w:jc w:val="left"/>
      </w:pPr>
      <w:r>
        <w:rPr>
          <w:rFonts w:ascii="Times New Roman"/>
          <w:b/>
          <w:i w:val="false"/>
          <w:color w:val="000000"/>
        </w:rPr>
        <w:t xml:space="preserve"> 3-тарау. Ерекше мәртебесi бар жоғары және (немесе) жоғары оқу орнынан кейінгі білім беру ұйымдарының жұмысын ұйымдастыру</w:t>
      </w:r>
    </w:p>
    <w:bookmarkEnd w:id="15"/>
    <w:bookmarkStart w:name="z19" w:id="16"/>
    <w:p>
      <w:pPr>
        <w:spacing w:after="0"/>
        <w:ind w:left="0"/>
        <w:jc w:val="both"/>
      </w:pPr>
      <w:r>
        <w:rPr>
          <w:rFonts w:ascii="Times New Roman"/>
          <w:b w:val="false"/>
          <w:i w:val="false"/>
          <w:color w:val="000000"/>
          <w:sz w:val="28"/>
        </w:rPr>
        <w:t>
      6. Ерекше мәртебесi бар жоғары және (немесе) жоғары оқу орнынан кейінгі білім беру ұйымы:</w:t>
      </w:r>
    </w:p>
    <w:bookmarkEnd w:id="16"/>
    <w:p>
      <w:pPr>
        <w:spacing w:after="0"/>
        <w:ind w:left="0"/>
        <w:jc w:val="both"/>
      </w:pPr>
      <w:r>
        <w:rPr>
          <w:rFonts w:ascii="Times New Roman"/>
          <w:b w:val="false"/>
          <w:i w:val="false"/>
          <w:color w:val="000000"/>
          <w:sz w:val="28"/>
        </w:rPr>
        <w:t>
      1) ғылыми-педагогикалық әлеуеттi, оқу-материалдық базаны және инновациялық бiлiм беру технологияларын тиiмдi пайдаланудың негiзiнде әлемдiк стандарттарға сәйкес келетiн жоғары және жоғары оқу орнынан кейінгі білімнің тұрақты жоғары деңгейіне кепілдік береді;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ұйымының әрбiр білім алушысының, оқытушысының және қызметкерiнің жеке басының бiлiм, рухани, мәдени және зияткерлік дамуы үшін барынша жағдайлармен қамтамасыз етеді;</w:t>
      </w:r>
    </w:p>
    <w:p>
      <w:pPr>
        <w:spacing w:after="0"/>
        <w:ind w:left="0"/>
        <w:jc w:val="both"/>
      </w:pPr>
      <w:r>
        <w:rPr>
          <w:rFonts w:ascii="Times New Roman"/>
          <w:b w:val="false"/>
          <w:i w:val="false"/>
          <w:color w:val="000000"/>
          <w:sz w:val="28"/>
        </w:rPr>
        <w:t>
      3) оқу-әдiстемелiк базаны дамытуға, ғылыми қызметтің, жоғары және (немесе) жоғары оқу орнынан кейінгі білім берудің сапасын арттыруға бағытталған ғылыми, білім беру және өзге де көрсетілетін қызметтерден түсетін қаражат пен кiрiстердi тиiмдi пайдалануды жүзеге асырады;</w:t>
      </w:r>
    </w:p>
    <w:p>
      <w:pPr>
        <w:spacing w:after="0"/>
        <w:ind w:left="0"/>
        <w:jc w:val="both"/>
      </w:pPr>
      <w:r>
        <w:rPr>
          <w:rFonts w:ascii="Times New Roman"/>
          <w:b w:val="false"/>
          <w:i w:val="false"/>
          <w:color w:val="000000"/>
          <w:sz w:val="28"/>
        </w:rPr>
        <w:t>
      4) әлемдiк ғылыми-бiлiм беру кеңiстiгінде білім берудің, ғылымның, техника мен технологиялардың дамуына жүйелi түрде мониторинг жүргiзеді әрі жоғары және (немесе) жоғары оқу орнынан кейінгі бiлiм беру жүйесiне енгізу үшiн бiлiм беру саласындағы уәкілетті органға ұсыныстар енгізеді.</w:t>
      </w:r>
    </w:p>
    <w:bookmarkStart w:name="z20" w:id="17"/>
    <w:p>
      <w:pPr>
        <w:spacing w:after="0"/>
        <w:ind w:left="0"/>
        <w:jc w:val="left"/>
      </w:pPr>
      <w:r>
        <w:rPr>
          <w:rFonts w:ascii="Times New Roman"/>
          <w:b/>
          <w:i w:val="false"/>
          <w:color w:val="000000"/>
        </w:rPr>
        <w:t xml:space="preserve"> 4-тарау. Ерекше мәртебесi бар жоғары және (немесе) жоғары оқу орнынан кейінгі білім беру ұйымдарын қаржыландыру</w:t>
      </w:r>
    </w:p>
    <w:bookmarkEnd w:id="17"/>
    <w:bookmarkStart w:name="z21" w:id="18"/>
    <w:p>
      <w:pPr>
        <w:spacing w:after="0"/>
        <w:ind w:left="0"/>
        <w:jc w:val="both"/>
      </w:pPr>
      <w:r>
        <w:rPr>
          <w:rFonts w:ascii="Times New Roman"/>
          <w:b w:val="false"/>
          <w:i w:val="false"/>
          <w:color w:val="000000"/>
          <w:sz w:val="28"/>
        </w:rPr>
        <w:t>
      7. Арттыру коэффициенті заңнамада айқындалатын Қазақстан Республикасы Президентінің жанындағы Мемлекеттік басқару академиясын, Қазақстан Республикасы Жоғарғы Сотының жанындағы Сот төрелігі академиясын қоспағанда, ұйымдық-құқықтық нысанына қарамастан, ерекше мәртебесі бар жоғары және (немесе) жоғары оқу орнынан кейінгі білім беру ұйымдарының профессор-оқытушылар құрамының және басшы қызметкерлерінің лауазымдық айлықақысы лауазымдық айлықақының белгіленген мөлшерлеріне 1,75 арттыру коэффициентін есепке ала отырып айқындалады.</w:t>
      </w:r>
    </w:p>
    <w:bookmarkEnd w:id="18"/>
    <w:bookmarkStart w:name="z22" w:id="19"/>
    <w:p>
      <w:pPr>
        <w:spacing w:after="0"/>
        <w:ind w:left="0"/>
        <w:jc w:val="both"/>
      </w:pPr>
      <w:r>
        <w:rPr>
          <w:rFonts w:ascii="Times New Roman"/>
          <w:b w:val="false"/>
          <w:i w:val="false"/>
          <w:color w:val="000000"/>
          <w:sz w:val="28"/>
        </w:rPr>
        <w:t>
      8. Қазақстан Республикасы Бас прокуратурасының жанындағы Құқық қорғау органдары академиясының профессор-оқытушылар құрамының және басшы қызметкерлерінің лауазымдық айлықақылары лауазымдық айлықақының белгіленген мөлшерлеріне 1,5-ке дейін арттыру коэффициентін қолдана отырып айқындалады.</w:t>
      </w:r>
    </w:p>
    <w:bookmarkEnd w:id="19"/>
    <w:p>
      <w:pPr>
        <w:spacing w:after="0"/>
        <w:ind w:left="0"/>
        <w:jc w:val="both"/>
      </w:pPr>
      <w:r>
        <w:rPr>
          <w:rFonts w:ascii="Times New Roman"/>
          <w:b w:val="false"/>
          <w:i w:val="false"/>
          <w:color w:val="000000"/>
          <w:sz w:val="28"/>
        </w:rPr>
        <w:t>
      Лауазымдық айлықақыға арттыру коэффициентінің нақты мөлшері лауазым санаттарына қарай сараланып белгіленеді және оны Қазақстан Республикасы Бас прокуратурасының жанындағы Құқық қорғау органдары академиясының ректоры бекітеді.</w:t>
      </w:r>
    </w:p>
    <w:bookmarkStart w:name="z23" w:id="20"/>
    <w:p>
      <w:pPr>
        <w:spacing w:after="0"/>
        <w:ind w:left="0"/>
        <w:jc w:val="both"/>
      </w:pPr>
      <w:r>
        <w:rPr>
          <w:rFonts w:ascii="Times New Roman"/>
          <w:b w:val="false"/>
          <w:i w:val="false"/>
          <w:color w:val="000000"/>
          <w:sz w:val="28"/>
        </w:rPr>
        <w:t>
      9. Қазақстан Республикасының Тұңғыш Президенті – Елбасы атындағы Ұлттық қорғаныс университетінің профессор-оқытушылар құрамының және басшы қызметкерлерінің лауазымдық айлықақылары лауазымдық айлықақының белгіленген мөлшерлеріне 1,5 арттыру коэффициентін қолдана отырып айқындалады.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