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04dd" w14:textId="00b0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5 маусымдағы № 417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5 маусымдағы</w:t>
      </w:r>
      <w:r>
        <w:br/>
      </w:r>
      <w:r>
        <w:rPr>
          <w:rFonts w:ascii="Times New Roman"/>
          <w:b w:val="false"/>
          <w:i w:val="false"/>
          <w:color w:val="000000"/>
          <w:sz w:val="28"/>
        </w:rPr>
        <w:t xml:space="preserve">
№ 417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«Дыбыстау-бейнелеу туындыларын немесе туындылардың дыбыс жазбаларын жеке мақсатта және сыйақыларын оларды шығаратын немесе импорттайтын тұлғалар төлейтін табыс алмай қайта шығару үшін пайдаланылатын жабдықтар мен материалдық жеткізгіштердің тізбесін бекіту туралы» Қазақстан Республикасы Үкіметінің 2004 жылғы 27 қазандағы № 1100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38, 512-құжат).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2004 жылғы 27 қазандағы № 1100 қаулысына өзгерістер мен толықтырулар енгізу туралы» Қазақстан Республикасы Үкіметінің 2011 жылғы 3 маусымдағы № 622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523-құжат).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сіңірген өнертапқышы атағын беру қағидаларын бекіту туралы» Қазақстан Республикасы Үкіметінің 2012 жылғы 11 сәуірдегі № 446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566-құжат).</w:t>
      </w:r>
      <w:r>
        <w:br/>
      </w:r>
      <w:r>
        <w:rPr>
          <w:rFonts w:ascii="Times New Roman"/>
          <w:b w:val="false"/>
          <w:i w:val="false"/>
          <w:color w:val="000000"/>
          <w:sz w:val="28"/>
        </w:rPr>
        <w:t>
</w:t>
      </w:r>
      <w:r>
        <w:rPr>
          <w:rFonts w:ascii="Times New Roman"/>
          <w:b w:val="false"/>
          <w:i w:val="false"/>
          <w:color w:val="000000"/>
          <w:sz w:val="28"/>
        </w:rPr>
        <w:t>
      4. «Өнеркәсіптік меншіктің құпия объектілерін пайдалану қағидаларын бекіту туралы» Қазақстан Республикасы Үкіметінің 2012 жылғы 30 маусымдағы № 888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840-құжат).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