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26a1" w14:textId="b8b2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"Теңізді тазарту жөніндегі жұмыстарды жүргізуге қажетті материалдар мен заттарға қойылатын нормативтерді және талаптарды бекіту туралы" Қазақстан Республикасы Үкіметінің 2010 жылғы 31 желтоқсандағы № 1524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қаңтардағы № 62 Қаулысы. Күші жойылды - Қазақстан Республикасы Үкіметінің 2015 жылғы 21 тамыздағы № 657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«Теңізді тазарту жөніндегі жұмыстарды жүргізуге қажетті материалдар мен заттарға қойылатын нормативтерді және талаптарды бекіту туралы» Қазақстан Республикасы Үкіметінің 2010 жылғы 31 желтоқсандағы № 1524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12, 154-құжат)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теңізді тазарту жөніндегі жұмыстарды жүргізуге қажетті материалдар мен заттарға қойылатын нормативтерде және </w:t>
      </w:r>
      <w:r>
        <w:rPr>
          <w:rFonts w:ascii="Times New Roman"/>
          <w:b w:val="false"/>
          <w:i w:val="false"/>
          <w:color w:val="000000"/>
          <w:sz w:val="28"/>
        </w:rPr>
        <w:t>талаптарда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Егер мұнайдың төгілген мөлшері оқиға болған жердегі абсорбенттердің мүмкіндігінен асып түссе, жер қойнауын пайдалану жөніндегі операцияларды жүргізуге арналған әр теңіз құрылысы қоршаған ортаны қорғау саласындағы уәкілетті орган бекіткен тізбеге сәйкес кең диапазонды диспергенттермен, сондай-ақ мұнайды уақытша сақтау қоймасына жинауға мүмкіндік беретін мұнай жинауға арналған материалдармен, тасымалдау және қауіпсіз жерде жағу үшін пластикалық қапшықтармен немесе герметикалық контейнерлермен (астаулармен) жабдықталады.».</w:t>
      </w:r>
      <w:r>
        <w:br/>
      </w:r>
      <w:r>
        <w:rPr>
          <w:rFonts w:ascii="Times New Roman"/>
          <w:b w:val="false"/>
          <w:i w:val="false"/>
          <w:color w:val="000000"/>
          <w:sz w:val="28"/>
        </w:rPr>
        <w:t>
</w:t>
      </w:r>
      <w:r>
        <w:rPr>
          <w:rFonts w:ascii="Times New Roman"/>
          <w:b w:val="false"/>
          <w:i w:val="false"/>
          <w:color w:val="000000"/>
          <w:sz w:val="28"/>
        </w:rPr>
        <w:t>
      10-тармақтың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1 және 2-деңгейлі төгілулерді жою үшін жеткілікті, сондай-ақ өзінің және жағалық ден қою базасынан қосымша күштер мен құралдар келгенге дейін 3-деңгейлі мұнай төгілуін оқшаулауды қамтамасыз ететін материалдардың, заттар мен жабдықтардың отыз минуттық қол жетімділік шегінде болуы;</w:t>
      </w:r>
      <w:r>
        <w:br/>
      </w:r>
      <w:r>
        <w:rPr>
          <w:rFonts w:ascii="Times New Roman"/>
          <w:b w:val="false"/>
          <w:i w:val="false"/>
          <w:color w:val="000000"/>
          <w:sz w:val="28"/>
        </w:rPr>
        <w:t>
</w:t>
      </w:r>
      <w:r>
        <w:rPr>
          <w:rFonts w:ascii="Times New Roman"/>
          <w:b w:val="false"/>
          <w:i w:val="false"/>
          <w:color w:val="000000"/>
          <w:sz w:val="28"/>
        </w:rPr>
        <w:t>
      6) 1 және 2-деңгейлі мұнай төгілулерін жою үшін жақын жердегі ден қою базасында орналасқан материалдар мен заттарды жабық құрғақ үй-жайда сақтау.».</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отыз күн өткен соң қолданысқа енгізіледі.</w:t>
      </w:r>
    </w:p>
    <w:bookmarkEnd w:id="1"/>
    <w:bookmarkStart w:name="z11" w:id="2"/>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