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acd1" w14:textId="a5fa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"Бюджеттiң атқарылуы және оған кассалық қызмет көрсету ережесiн бекiту туралы" Қазақстан Республикасы Үкіметінің 2009 жылғы 26 ақпандағы № 220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қарашадағы № 1494 Қаулысы. Күші жойылды - Қазақстан Республикасы Үкіметінің 2015 жылғы 25 сәуірдегі № 325 қаулысымен</w:t>
      </w:r>
    </w:p>
    <w:p>
      <w:pPr>
        <w:spacing w:after="0"/>
        <w:ind w:left="0"/>
        <w:jc w:val="both"/>
      </w:pPr>
      <w:r>
        <w:rPr>
          <w:rFonts w:ascii="Times New Roman"/>
          <w:b w:val="false"/>
          <w:i w:val="false"/>
          <w:color w:val="ff0000"/>
          <w:sz w:val="28"/>
        </w:rPr>
        <w:t xml:space="preserve">      Ескерту. Күші жойылды - ҚР Үкіметінің 25.04.2015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«Бюджеттiң атқарылуы және оған кассалық қызмет көрсету ережесiн бекiту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12, 86-құжат)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Бюджеттiң атқарылуы және оған кассалық қызмет көрсету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34-тармақтың</w:t>
      </w:r>
      <w:r>
        <w:rPr>
          <w:rFonts w:ascii="Times New Roman"/>
          <w:b w:val="false"/>
          <w:i w:val="false"/>
          <w:color w:val="000000"/>
          <w:sz w:val="28"/>
        </w:rPr>
        <w:t xml:space="preserve"> үшінші бөлігі 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
      «Республикалық бюджет туралы заңды іске асыру туралы «Қазақстан Республикасы Үкіметінің қаулысына өзгерістер мен толықтырулар енгізу туралы Қазақстан Республикасы Үкіметінің бекітілген қаулысы бюджеттік даму бағдарламасы бойынша бюджет қаражатының жылдық көлемі шеңберінде сыртқы қарыздар және грант қаражаты есебінен қаржыландырылатын бюджеттік даму бағдарламаларының бюджеттік кіші бағдарламалары арасында бюджет қаражатын қайта бөлу үшін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34-тармағы</w:t>
      </w:r>
      <w:r>
        <w:rPr>
          <w:rFonts w:ascii="Times New Roman"/>
          <w:b w:val="false"/>
          <w:i w:val="false"/>
          <w:color w:val="000000"/>
          <w:sz w:val="28"/>
        </w:rPr>
        <w:t xml:space="preserve"> үшінші бөлігінің оныншы абзацында көрсетілген нормативтік құқықтық актісі болмаған жағдайда аумақтық қазынашылық бөлімшесі жеке қаржыландыру жоспарларына өзгерістер енгізу туралы анықтаманы орындамай бюджеттік бағдарлама әкімшісіне қайтарады («Қазынашылық-клиент» АЖ бойынша себебі көрсетіле отырып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157-2-тармақтың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Орындалған жұмыстар үшін тапсырыс беруші мен мердігер арасындағы түпкілікті есеп айырысу ғимараттарды, құрылыстарды, жолдарды салуға не қайта жаңартуға, үй-жайларды, ғимараттарды, құрылыстарды, жолдарды, басқа да объектілерді күрделі жөндеуге байланысты жұмыстар аяқталғаннан және тапсырыс беруші аумақтық қазынашылық бөлімшесіне мемлекеттік қабылдау комиссиясы қол қойған актіні ұсынғаннан кейін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159-1-тармақпен толықтырылсын:</w:t>
      </w:r>
      <w:r>
        <w:br/>
      </w:r>
      <w:r>
        <w:rPr>
          <w:rFonts w:ascii="Times New Roman"/>
          <w:b w:val="false"/>
          <w:i w:val="false"/>
          <w:color w:val="000000"/>
          <w:sz w:val="28"/>
        </w:rPr>
        <w:t>
</w:t>
      </w:r>
      <w:r>
        <w:rPr>
          <w:rFonts w:ascii="Times New Roman"/>
          <w:b w:val="false"/>
          <w:i w:val="false"/>
          <w:color w:val="000000"/>
          <w:sz w:val="28"/>
        </w:rPr>
        <w:t>
      «159-1. Біріккен Ұлттар Ұйымының Даму бағдарламасының жобалары бойынша Қазақстан Республикасы Үкіметінің бірлесіп қаржыландыру үлесін төлеу кезінде байланысты гранттар бойынша аванстық (алдын ала) төлем шарт сомасының 100 пайызы мөлшерінде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161-1-тармақпен толықтырылсын:</w:t>
      </w:r>
      <w:r>
        <w:br/>
      </w:r>
      <w:r>
        <w:rPr>
          <w:rFonts w:ascii="Times New Roman"/>
          <w:b w:val="false"/>
          <w:i w:val="false"/>
          <w:color w:val="000000"/>
          <w:sz w:val="28"/>
        </w:rPr>
        <w:t>
</w:t>
      </w:r>
      <w:r>
        <w:rPr>
          <w:rFonts w:ascii="Times New Roman"/>
          <w:b w:val="false"/>
          <w:i w:val="false"/>
          <w:color w:val="000000"/>
          <w:sz w:val="28"/>
        </w:rPr>
        <w:t>
      «161-1. Standard&amp;Poor's, Moody's және Fitch Ratings халықаралық рейтингтік агенттіктермен (оның ішінде олар басқа заңды тұлға болып қайта ұйымдастырылған жағдайда) өзара іс-қимыл жасау жөніндегі қызметтерге ақы төлеу олармен жасалған шарттарда немесе келісімдерде көрсетілген талаптар мен мерзімдерге сәйкес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257-тармақтың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оң шешімі негізінде жергiлiктi атқарушы органдарға жаңа бюджеттік инвестициялық жобаларды енгізу өңірлік және жаһандық сипаттағы табиғи және техногендік төтенше жағдайлардың алдын алуға немесе оларды жоюға байланысты жаңа бюджеттік инвестициялық жобаларды енгізу жағдайларын қоспағанда, бiр бюджеттiк бағдарлама шегiнде жоғары тұрған бюджеттен нысаналы даму трансферттерiнiң есебiнен қаржыландырылатын жергiлiктi бюджеттiк инвестициялық жобалардың сомасын бюджеттiк инвестициялық жобаның сметалық құнын арттырумен байланысты шығыстарға, сондай-ақ жаңа бюджеттiк инвестициялық жобаларды қаржыландыруға қайта бөлуге тыйым салынады.».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