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4da9" w14:textId="a734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1287 Қаулысы</w:t>
      </w:r>
    </w:p>
    <w:p>
      <w:pPr>
        <w:spacing w:after="0"/>
        <w:ind w:left="0"/>
        <w:jc w:val="both"/>
      </w:pPr>
      <w:bookmarkStart w:name="z1" w:id="0"/>
      <w:r>
        <w:rPr>
          <w:rFonts w:ascii="Times New Roman"/>
          <w:b w:val="false"/>
          <w:i w:val="false"/>
          <w:color w:val="000000"/>
          <w:sz w:val="28"/>
        </w:rPr>
        <w:t xml:space="preserve">
      «2010-2012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қаласында халықаралық маңызы бар іс-шараларды дайындау және өткізу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2010 жылға арналған республикалық бюджетте көзделген Қазақстан Республикасы Үкіметінің шұғыл шығындарға арналған резервінен «Тұран даңғылынан «Рубеж» бекетіне дейінгі учаскеде Қорғалжын тас жолын қайта жаңарту» жобасын іске асыруға Астана қаласының әкімдігіне нысаналы даму трансферттері түрінде аудару үшін 700000000 (жеті жүз миллион)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коммуникациялар министрлігі және Астана қаласының әкімдігі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