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d16c" w14:textId="c2cd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төлемдерді төлеу бойынша жеңілдіктер сыныптауышының 4.4 кіші 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 желтоқсандағы № 114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Кедендік төлемдерді төлеу бойынша жеңілдіктер сыныптауышының 4.4 кіші бөлімінің 4.4.1 тармағын (2010 жылғы 20 қыркүйектегі Кеден Одағы Комиссиясының № 378 Шешіміне 7-қосымша) АЗ коды бар позициядан кейін келесі мазмұндағы позициямен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 әкелінетін ұшуының ең жоғары массасы 0,15 килограммнан 30 килограммға дейінгі азаматтық ұшқышсыз әуе кемелерін Ресей Федерациясы аумағында салуға, жөндеуге және (немесе) жаңғыртуға арналған қозғалтқыштар, қосалқы бөлшектер мен құрамдас бұйымдарға, сондай-ақ аталған ұшқышсыз азаматтық әуе кемелерін және (немесе) қозғалтқыштарды әзірлеу, жасау және (немесе) сынау үшін қажетті баспа басылымдарына, тәжірибелік үлгілерге және (немесе) олардың құрамдас бөліктеріне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БЗ".</w:t>
            </w:r>
          </w:p>
        </w:tc>
      </w:tr>
    </w:tbl>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