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ff40" w14:textId="c81f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"Ойыншықтардың қауіпсіздігі туралы" (КО ТР 008/2011) техникалық регламентінің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2025 жылғы 26 тамыздағы № 76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Кеңесінің 2021 жылғы 12 қарашадағы № 130 шешімімен бекітілген Еуразиялық экономикалық одақтың кедендік аумағына міндетті сәйкестікті бағалауға жататын өнімді Еуразиялық экономикалық одақтың кедендік аумағына әкелу тәртібінің 2-тармағының </w:t>
      </w:r>
      <w:r>
        <w:rPr>
          <w:rFonts w:ascii="Times New Roman"/>
          <w:b w:val="false"/>
          <w:i w:val="false"/>
          <w:color w:val="000000"/>
          <w:sz w:val="28"/>
        </w:rPr>
        <w:t>"а" тармақшасын</w:t>
      </w:r>
      <w:r>
        <w:rPr>
          <w:rFonts w:ascii="Times New Roman"/>
          <w:b w:val="false"/>
          <w:i w:val="false"/>
          <w:color w:val="000000"/>
          <w:sz w:val="28"/>
        </w:rPr>
        <w:t xml:space="preserve"> іске асыру мақсатында,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Кеден одағының "Ойыншықтардың қауіпсіздігі туралы" (КО ТР 008/2011) техникалық регламентінің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Еуразиялық экономикалық комиссия Алқасының "Оған қатысты кедендік декларацияны беру Кеден одағының "Ойыншықтардың қауіпсіздігі туралы" (КО ТР 008/2011) техникалық регламентінің талаптарына сәйкестігін бағалау туралы құжатты ұсынумен сүйемелденетін өнімнің (бұйымдардың) тізбесін бекіту туралы" 2013 жылғы 31 қаңтардағы №11 шешімі;</w:t>
      </w:r>
    </w:p>
    <w:bookmarkEnd w:id="3"/>
    <w:bookmarkStart w:name="z5" w:id="4"/>
    <w:p>
      <w:pPr>
        <w:spacing w:after="0"/>
        <w:ind w:left="0"/>
        <w:jc w:val="both"/>
      </w:pPr>
      <w:r>
        <w:rPr>
          <w:rFonts w:ascii="Times New Roman"/>
          <w:b w:val="false"/>
          <w:i w:val="false"/>
          <w:color w:val="000000"/>
          <w:sz w:val="28"/>
        </w:rPr>
        <w:t>
      Еуразиялық экономикалық комиссия Алқасының "Кеден одағы Комиссиясының және Еуразиялық экономикалық комиссияның жекелеген шешімдеріне өзгерістер енгізу туралы және Еуразиялық экономикалық комиссия Кеңесі шешімінің жобасын мақұлдау туралы" 2013 жылғы 25 маусымдағы №140 шешімі;</w:t>
      </w:r>
    </w:p>
    <w:bookmarkEnd w:id="4"/>
    <w:bookmarkStart w:name="z6" w:id="5"/>
    <w:p>
      <w:pPr>
        <w:spacing w:after="0"/>
        <w:ind w:left="0"/>
        <w:jc w:val="both"/>
      </w:pPr>
      <w:r>
        <w:rPr>
          <w:rFonts w:ascii="Times New Roman"/>
          <w:b w:val="false"/>
          <w:i w:val="false"/>
          <w:color w:val="000000"/>
          <w:sz w:val="28"/>
        </w:rPr>
        <w:t xml:space="preserve">
      Еуразиялық экономикалық комиссия Алқасының "Оған қатысты кедендік декларация беру Кеден одағының "Ойыншықтардың қауіпсіздігі туралы" техникалық регламентінің (КО ТР 008/2011) талаптарына сәйкес бағалау (растау) туралы құжат берумен бірге жүретін өнімнің (бұйымның) тізбесіне өзгерістер енгізу туралы" 2015 жылғы 3 ақпандағы № 7 </w:t>
      </w:r>
      <w:r>
        <w:rPr>
          <w:rFonts w:ascii="Times New Roman"/>
          <w:b w:val="false"/>
          <w:i w:val="false"/>
          <w:color w:val="000000"/>
          <w:sz w:val="28"/>
        </w:rPr>
        <w:t>шешімі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жүргізгіге және ойын шатырларына қатысты, сондай-ақ Кеден одағы Комиссиясының және Еуразиялық экономикалық комиссия Алқасының кейбір шешімдеріне өзгерістер енгізу туралы" 2015 жылғы 12 мамырдағы № 50 </w:t>
      </w:r>
      <w:r>
        <w:rPr>
          <w:rFonts w:ascii="Times New Roman"/>
          <w:b w:val="false"/>
          <w:i w:val="false"/>
          <w:color w:val="000000"/>
          <w:sz w:val="28"/>
        </w:rPr>
        <w:t>шешімі</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комиссия Алқасының 2013 жылғы 31 қаңтардағы № 11 шешіміне өзгерістер енгізу туралы" 2016 жылғы 9 ақпандағы № 18 </w:t>
      </w:r>
      <w:r>
        <w:rPr>
          <w:rFonts w:ascii="Times New Roman"/>
          <w:b w:val="false"/>
          <w:i w:val="false"/>
          <w:color w:val="000000"/>
          <w:sz w:val="28"/>
        </w:rPr>
        <w:t>шешімі</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26 тамыздағы </w:t>
            </w:r>
            <w:r>
              <w:br/>
            </w:r>
            <w:r>
              <w:rPr>
                <w:rFonts w:ascii="Times New Roman"/>
                <w:b w:val="false"/>
                <w:i w:val="false"/>
                <w:color w:val="000000"/>
                <w:sz w:val="20"/>
              </w:rPr>
              <w:t xml:space="preserve">№76 шешімімен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Кеден одағының "Ойыншықтардың қауіпсіздігі туралы" (КО ТР 008/2011) техникалық регламентінің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тізбесі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Сәйкестікті бағалау туралы құжат </w:t>
            </w:r>
            <w:r>
              <w:rPr>
                <w:rFonts w:ascii="Times New Roman"/>
                <w:b/>
                <w:i w:val="false"/>
                <w:color w:val="000000"/>
                <w:sz w:val="20"/>
              </w:rPr>
              <w:t>(сәйкестікті</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 үшін мүсіндеуге арналған пластилинді қоса алғанда, мүсіндеуге арналған пасталар, оның ішінде мүсіндеуге арналған масса, мүсіндеуге арналған қамыр, полимерлі саз және балалар үшін мүсіндеуге арналған, атап айтқанда қалыптармен және мүсіндеуге қажетті өзге де керек-жарақтармен жиынтықтағы басқа да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w:t>
            </w:r>
          </w:p>
          <w:p>
            <w:pPr>
              <w:spacing w:after="20"/>
              <w:ind w:left="20"/>
              <w:jc w:val="both"/>
            </w:pPr>
            <w:r>
              <w:rPr>
                <w:rFonts w:ascii="Times New Roman"/>
                <w:b w:val="false"/>
                <w:i w:val="false"/>
                <w:color w:val="000000"/>
                <w:sz w:val="20"/>
              </w:rPr>
              <w:t>
"тіс дәрігерінің балауызы" немесе бөлшектеп сатуға арналған қаптамаларға немесе плиткалар түрінде, таға түрінде, кесек немесе ұқсас нысандарда қапталған тістердің құймаларын алу үшін қолданылатын құрамдар; гипс (кальцийленген гипс немесе кальций сульфаты) негізінде өзге де тіс дәрігерлік мақсаттарға арналған құрамдар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Баланың массасын көтеретін ойыншықтар, оның ішінде үш дөңгелекті велосипедтер, самокаттар, педальды автомобильдер, арбашалар және дөңгелекті ұқсас ойыншықтар; қуыршақ арбашалары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9403 70 000 2</w:t>
            </w:r>
          </w:p>
          <w:p>
            <w:pPr>
              <w:spacing w:after="20"/>
              <w:ind w:left="20"/>
              <w:jc w:val="both"/>
            </w:pPr>
            <w:r>
              <w:rPr>
                <w:rFonts w:ascii="Times New Roman"/>
                <w:b w:val="false"/>
                <w:i w:val="false"/>
                <w:color w:val="000000"/>
                <w:sz w:val="20"/>
              </w:rPr>
              <w:t>
9403 70 000 3</w:t>
            </w:r>
          </w:p>
          <w:p>
            <w:pPr>
              <w:spacing w:after="20"/>
              <w:ind w:left="20"/>
              <w:jc w:val="both"/>
            </w:pPr>
            <w:r>
              <w:rPr>
                <w:rFonts w:ascii="Times New Roman"/>
                <w:b w:val="false"/>
                <w:i w:val="false"/>
                <w:color w:val="000000"/>
                <w:sz w:val="20"/>
              </w:rPr>
              <w:t>
9503 00 100 1</w:t>
            </w:r>
          </w:p>
          <w:p>
            <w:pPr>
              <w:spacing w:after="20"/>
              <w:ind w:left="20"/>
              <w:jc w:val="both"/>
            </w:pPr>
            <w:r>
              <w:rPr>
                <w:rFonts w:ascii="Times New Roman"/>
                <w:b w:val="false"/>
                <w:i w:val="false"/>
                <w:color w:val="000000"/>
                <w:sz w:val="20"/>
              </w:rPr>
              <w:t>
9503 00 100 9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Тек адамдарды, олардың бөліктері мен керек-жарақтарын бейнелейтін қуыршақтар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p>
            <w:pPr>
              <w:spacing w:after="20"/>
              <w:ind w:left="20"/>
              <w:jc w:val="both"/>
            </w:pPr>
            <w:r>
              <w:rPr>
                <w:rFonts w:ascii="Times New Roman"/>
                <w:b w:val="false"/>
                <w:i w:val="false"/>
                <w:color w:val="000000"/>
                <w:sz w:val="20"/>
              </w:rPr>
              <w:t>
9503 00 290 0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Рельстерді, бағдаршамдарды және олардың өзге де керек-жарақтарын қоса алғанда, электрлік поездар; модельдерді кішірейтілген мөлшерде ("масштабта") құрастыруға арналған элементтер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Конструкторлық жиынтықтар және өзге де конструкторлық ойыншықтар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p>
            <w:pPr>
              <w:spacing w:after="20"/>
              <w:ind w:left="20"/>
              <w:jc w:val="both"/>
            </w:pPr>
            <w:r>
              <w:rPr>
                <w:rFonts w:ascii="Times New Roman"/>
                <w:b w:val="false"/>
                <w:i w:val="false"/>
                <w:color w:val="000000"/>
                <w:sz w:val="20"/>
              </w:rPr>
              <w:t>
9503 00 390 0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Жануарларды немесе адамдардан басқа тіршілік иелерін бейнелейтін ойыншықтар, соның ішінде жұмсақтары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p>
            <w:pPr>
              <w:spacing w:after="20"/>
              <w:ind w:left="20"/>
              <w:jc w:val="both"/>
            </w:pPr>
            <w:r>
              <w:rPr>
                <w:rFonts w:ascii="Times New Roman"/>
                <w:b w:val="false"/>
                <w:i w:val="false"/>
                <w:color w:val="000000"/>
                <w:sz w:val="20"/>
              </w:rPr>
              <w:t>
9503 00 490 0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Музыкалық ойыншық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бөлікке дейінгі басқатырғыштар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p>
            <w:pPr>
              <w:spacing w:after="20"/>
              <w:ind w:left="20"/>
              <w:jc w:val="both"/>
            </w:pPr>
            <w:r>
              <w:rPr>
                <w:rFonts w:ascii="Times New Roman"/>
                <w:b w:val="false"/>
                <w:i w:val="false"/>
                <w:color w:val="000000"/>
                <w:sz w:val="20"/>
              </w:rPr>
              <w:t>
9503 00 690 0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Жиынтықтардағы немесе жинақталымдардағы өзге де ойыншықтар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Кіріктірілген қозғалтқышы бар өзге де ойыншықтар мен модельдер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p>
            <w:pPr>
              <w:spacing w:after="20"/>
              <w:ind w:left="20"/>
              <w:jc w:val="both"/>
            </w:pPr>
            <w:r>
              <w:rPr>
                <w:rFonts w:ascii="Times New Roman"/>
                <w:b w:val="false"/>
                <w:i w:val="false"/>
                <w:color w:val="000000"/>
                <w:sz w:val="20"/>
              </w:rPr>
              <w:t>
9503 00 790 0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Өзге де ойыншықтар, оның ішінде өзге де электрлік ойыншықтар және ойын-сауыққа арналған ойыншықтар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p>
            <w:pPr>
              <w:spacing w:after="20"/>
              <w:ind w:left="20"/>
              <w:jc w:val="both"/>
            </w:pPr>
            <w:r>
              <w:rPr>
                <w:rFonts w:ascii="Times New Roman"/>
                <w:b w:val="false"/>
                <w:i w:val="false"/>
                <w:color w:val="000000"/>
                <w:sz w:val="20"/>
              </w:rPr>
              <w:t>
9503 00 850 0</w:t>
            </w:r>
          </w:p>
          <w:p>
            <w:pPr>
              <w:spacing w:after="20"/>
              <w:ind w:left="20"/>
              <w:jc w:val="both"/>
            </w:pPr>
            <w:r>
              <w:rPr>
                <w:rFonts w:ascii="Times New Roman"/>
                <w:b w:val="false"/>
                <w:i w:val="false"/>
                <w:color w:val="000000"/>
                <w:sz w:val="20"/>
              </w:rPr>
              <w:t>
9503 00 950 0</w:t>
            </w:r>
          </w:p>
          <w:p>
            <w:pPr>
              <w:spacing w:after="20"/>
              <w:ind w:left="20"/>
              <w:jc w:val="both"/>
            </w:pPr>
            <w:r>
              <w:rPr>
                <w:rFonts w:ascii="Times New Roman"/>
                <w:b w:val="false"/>
                <w:i w:val="false"/>
                <w:color w:val="000000"/>
                <w:sz w:val="20"/>
              </w:rPr>
              <w:t>
9503 00 990 1</w:t>
            </w:r>
          </w:p>
          <w:p>
            <w:pPr>
              <w:spacing w:after="20"/>
              <w:ind w:left="20"/>
              <w:jc w:val="both"/>
            </w:pPr>
            <w:r>
              <w:rPr>
                <w:rFonts w:ascii="Times New Roman"/>
                <w:b w:val="false"/>
                <w:i w:val="false"/>
                <w:color w:val="000000"/>
                <w:sz w:val="20"/>
              </w:rPr>
              <w:t>
9503 00 990 9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 доптары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p>
            <w:pPr>
              <w:spacing w:after="20"/>
              <w:ind w:left="20"/>
              <w:jc w:val="both"/>
            </w:pPr>
            <w:r>
              <w:rPr>
                <w:rFonts w:ascii="Times New Roman"/>
                <w:b w:val="false"/>
                <w:i w:val="false"/>
                <w:color w:val="000000"/>
                <w:sz w:val="20"/>
              </w:rPr>
              <w:t>
9506 62 000 0</w:t>
            </w:r>
          </w:p>
          <w:p>
            <w:pPr>
              <w:spacing w:after="20"/>
              <w:ind w:left="20"/>
              <w:jc w:val="both"/>
            </w:pPr>
            <w:r>
              <w:rPr>
                <w:rFonts w:ascii="Times New Roman"/>
                <w:b w:val="false"/>
                <w:i w:val="false"/>
                <w:color w:val="000000"/>
                <w:sz w:val="20"/>
              </w:rPr>
              <w:t xml:space="preserve">
9506 69 900 0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9504 50 000 1 </w:t>
            </w:r>
          </w:p>
          <w:p>
            <w:pPr>
              <w:spacing w:after="20"/>
              <w:ind w:left="20"/>
              <w:jc w:val="both"/>
            </w:pPr>
            <w:r>
              <w:rPr>
                <w:rFonts w:ascii="Times New Roman"/>
                <w:b w:val="false"/>
                <w:i w:val="false"/>
                <w:color w:val="000000"/>
                <w:sz w:val="20"/>
              </w:rPr>
              <w:t>
9504 50 000 2</w:t>
            </w:r>
          </w:p>
          <w:p>
            <w:pPr>
              <w:spacing w:after="20"/>
              <w:ind w:left="20"/>
              <w:jc w:val="both"/>
            </w:pPr>
            <w:r>
              <w:rPr>
                <w:rFonts w:ascii="Times New Roman"/>
                <w:b w:val="false"/>
                <w:i w:val="false"/>
                <w:color w:val="000000"/>
                <w:sz w:val="20"/>
              </w:rPr>
              <w:t xml:space="preserve">
9504 50 000 9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Жарысу ойындарына арналған электрлік жарыс автомобильдерінің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Үстелүстілік немесе бөлмелік ойыншықтар (ойындар), барлық түрдегі карточкалық ойыншықтар (ойындар)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9504 40 000 0 </w:t>
            </w:r>
          </w:p>
          <w:p>
            <w:pPr>
              <w:spacing w:after="20"/>
              <w:ind w:left="20"/>
              <w:jc w:val="both"/>
            </w:pPr>
            <w:r>
              <w:rPr>
                <w:rFonts w:ascii="Times New Roman"/>
                <w:b w:val="false"/>
                <w:i w:val="false"/>
                <w:color w:val="000000"/>
                <w:sz w:val="20"/>
              </w:rPr>
              <w:t>
9504 90 800 9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Мерекелерге, карнавалдарға арналған ойыншық бұйымдар және көңіл көтеруге арналған өзге де ойыншық бұйымдар, оның ішінде фокустар мен әзілдерді көрсетуге арналған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p>
            <w:pPr>
              <w:spacing w:after="20"/>
              <w:ind w:left="20"/>
              <w:jc w:val="both"/>
            </w:pPr>
            <w:r>
              <w:rPr>
                <w:rFonts w:ascii="Times New Roman"/>
                <w:b w:val="false"/>
                <w:i w:val="false"/>
                <w:color w:val="000000"/>
                <w:sz w:val="20"/>
              </w:rPr>
              <w:t>
9505 90 000 0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p>
          <w:p>
            <w:pPr>
              <w:spacing w:after="20"/>
              <w:ind w:left="20"/>
              <w:jc w:val="both"/>
            </w:pPr>
            <w:r>
              <w:rPr>
                <w:rFonts w:ascii="Times New Roman"/>
                <w:b w:val="false"/>
                <w:i w:val="false"/>
                <w:color w:val="000000"/>
                <w:sz w:val="20"/>
              </w:rPr>
              <w:t>
ойыншық болып табылмайтын және ойыншық арналған баланың ең төменгі жасын немесе баланың жасын білдіретін таңбалаудағы пиктограмманы қамтымайтын өнімді;</w:t>
            </w:r>
          </w:p>
          <w:p>
            <w:pPr>
              <w:spacing w:after="20"/>
              <w:ind w:left="20"/>
              <w:jc w:val="both"/>
            </w:pPr>
            <w:r>
              <w:rPr>
                <w:rFonts w:ascii="Times New Roman"/>
                <w:b w:val="false"/>
                <w:i w:val="false"/>
                <w:color w:val="000000"/>
                <w:sz w:val="20"/>
              </w:rPr>
              <w:t xml:space="preserve">
мерекелер мен салтанатты іс-шараларға арналған сәндік бұйымдарды;  </w:t>
            </w:r>
          </w:p>
          <w:p>
            <w:pPr>
              <w:spacing w:after="20"/>
              <w:ind w:left="20"/>
              <w:jc w:val="both"/>
            </w:pPr>
            <w:r>
              <w:rPr>
                <w:rFonts w:ascii="Times New Roman"/>
                <w:b w:val="false"/>
                <w:i w:val="false"/>
                <w:color w:val="000000"/>
                <w:sz w:val="20"/>
              </w:rPr>
              <w:t xml:space="preserve">
кәдесый өнімдерін (адамның эстетикалық қажеттіліктерін қанағаттандыруға арналған және баланың ойынына арналмаған бұйымдарды); </w:t>
            </w:r>
          </w:p>
          <w:p>
            <w:pPr>
              <w:spacing w:after="20"/>
              <w:ind w:left="20"/>
              <w:jc w:val="both"/>
            </w:pPr>
            <w:r>
              <w:rPr>
                <w:rFonts w:ascii="Times New Roman"/>
                <w:b w:val="false"/>
                <w:i w:val="false"/>
                <w:color w:val="000000"/>
                <w:sz w:val="20"/>
              </w:rPr>
              <w:t>
жаңа жылдық және рождестволық мерекелерге арналған шыныдан жасалған өнімдерді (бұйымдарды)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Балаларға арналған бассейндер, соның ішінде шарлары бар құрғақ бассейндер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бассейндерді, оның ішінде жалпыға ортақ пайдалану үшін қоғамдық орындарда орнатылатын шарлары бар құрғақ бассейндерді қоспағанда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Бояулар, соның ішінде саусақпен жағатын бояулар, гуашь, және басқа да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3213 10 000 0</w:t>
            </w:r>
          </w:p>
          <w:p>
            <w:pPr>
              <w:spacing w:after="20"/>
              <w:ind w:left="20"/>
              <w:jc w:val="both"/>
            </w:pPr>
            <w:r>
              <w:rPr>
                <w:rFonts w:ascii="Times New Roman"/>
                <w:b w:val="false"/>
                <w:i w:val="false"/>
                <w:color w:val="000000"/>
                <w:sz w:val="20"/>
              </w:rPr>
              <w:t>
3213 90 000 0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болып табылмайтын және ойыншық арналған баланың ең төменгі жасын немесе баланың жасын білдіретін таңбалаудағы пиктограмманы қамтымайтын өнімді (бұйымдарды)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Балалар үшін үйде қолдануға арналған батуттар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xml:space="preserve">
спорттық батуттар мен аттракцион болып табылатын батуттарды; </w:t>
            </w:r>
          </w:p>
          <w:p>
            <w:pPr>
              <w:spacing w:after="20"/>
              <w:ind w:left="20"/>
              <w:jc w:val="both"/>
            </w:pPr>
            <w:r>
              <w:rPr>
                <w:rFonts w:ascii="Times New Roman"/>
                <w:b w:val="false"/>
                <w:i w:val="false"/>
                <w:color w:val="000000"/>
                <w:sz w:val="20"/>
              </w:rPr>
              <w:t>
жалпыға ортақ пайдалану үшін қоғамдық орындарда орнатылатын балаларға арналған батуттарды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Қарындаштар, маркерлер, фломастерлер, қылқаламдар және басқа да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p>
            <w:pPr>
              <w:spacing w:after="20"/>
              <w:ind w:left="20"/>
              <w:jc w:val="both"/>
            </w:pPr>
            <w:r>
              <w:rPr>
                <w:rFonts w:ascii="Times New Roman"/>
                <w:b w:val="false"/>
                <w:i w:val="false"/>
                <w:color w:val="000000"/>
                <w:sz w:val="20"/>
              </w:rPr>
              <w:t>
9608 20 000 0</w:t>
            </w:r>
          </w:p>
          <w:p>
            <w:pPr>
              <w:spacing w:after="20"/>
              <w:ind w:left="20"/>
              <w:jc w:val="both"/>
            </w:pPr>
            <w:r>
              <w:rPr>
                <w:rFonts w:ascii="Times New Roman"/>
                <w:b w:val="false"/>
                <w:i w:val="false"/>
                <w:color w:val="000000"/>
                <w:sz w:val="20"/>
              </w:rPr>
              <w:t>
9608 50 000 0</w:t>
            </w:r>
          </w:p>
          <w:p>
            <w:pPr>
              <w:spacing w:after="20"/>
              <w:ind w:left="20"/>
              <w:jc w:val="both"/>
            </w:pPr>
            <w:r>
              <w:rPr>
                <w:rFonts w:ascii="Times New Roman"/>
                <w:b w:val="false"/>
                <w:i w:val="false"/>
                <w:color w:val="000000"/>
                <w:sz w:val="20"/>
              </w:rPr>
              <w:t>
9608 99 000 9</w:t>
            </w:r>
          </w:p>
          <w:p>
            <w:pPr>
              <w:spacing w:after="20"/>
              <w:ind w:left="20"/>
              <w:jc w:val="both"/>
            </w:pPr>
            <w:r>
              <w:rPr>
                <w:rFonts w:ascii="Times New Roman"/>
                <w:b w:val="false"/>
                <w:i w:val="false"/>
                <w:color w:val="000000"/>
                <w:sz w:val="20"/>
              </w:rPr>
              <w:t>
9609 10 100 0</w:t>
            </w:r>
          </w:p>
          <w:p>
            <w:pPr>
              <w:spacing w:after="20"/>
              <w:ind w:left="20"/>
              <w:jc w:val="both"/>
            </w:pPr>
            <w:r>
              <w:rPr>
                <w:rFonts w:ascii="Times New Roman"/>
                <w:b w:val="false"/>
                <w:i w:val="false"/>
                <w:color w:val="000000"/>
                <w:sz w:val="20"/>
              </w:rPr>
              <w:t>
9609 10 900 0</w:t>
            </w:r>
          </w:p>
          <w:p>
            <w:pPr>
              <w:spacing w:after="20"/>
              <w:ind w:left="20"/>
              <w:jc w:val="both"/>
            </w:pPr>
            <w:r>
              <w:rPr>
                <w:rFonts w:ascii="Times New Roman"/>
                <w:b w:val="false"/>
                <w:i w:val="false"/>
                <w:color w:val="000000"/>
                <w:sz w:val="20"/>
              </w:rPr>
              <w:t>
9609 20 000 0</w:t>
            </w:r>
          </w:p>
          <w:p>
            <w:pPr>
              <w:spacing w:after="20"/>
              <w:ind w:left="20"/>
              <w:jc w:val="both"/>
            </w:pPr>
            <w:r>
              <w:rPr>
                <w:rFonts w:ascii="Times New Roman"/>
                <w:b w:val="false"/>
                <w:i w:val="false"/>
                <w:color w:val="000000"/>
                <w:sz w:val="20"/>
              </w:rPr>
              <w:t>
9609 90 100 0</w:t>
            </w:r>
          </w:p>
          <w:p>
            <w:pPr>
              <w:spacing w:after="20"/>
              <w:ind w:left="20"/>
              <w:jc w:val="both"/>
            </w:pPr>
            <w:r>
              <w:rPr>
                <w:rFonts w:ascii="Times New Roman"/>
                <w:b w:val="false"/>
                <w:i w:val="false"/>
                <w:color w:val="000000"/>
                <w:sz w:val="20"/>
              </w:rPr>
              <w:t>
9609 90 900 0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 болып табылмайтын және ойыншық арналған баланың ең төменгі жасын немесе баланың жасын білдіретін таңбалаудағы пиктограмманы қамтымайтын өнімді (бұйымдарды) қоспағанда, ойын жиынтықтарында немесе ойыншық ретінде пайдаланылатын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Үйде пайдалануға арналған әткеншектер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p>
            <w:pPr>
              <w:spacing w:after="20"/>
              <w:ind w:left="20"/>
              <w:jc w:val="both"/>
            </w:pPr>
            <w:r>
              <w:rPr>
                <w:rFonts w:ascii="Times New Roman"/>
                <w:b w:val="false"/>
                <w:i w:val="false"/>
                <w:color w:val="000000"/>
                <w:sz w:val="20"/>
              </w:rPr>
              <w:t>
9401 53 000 0</w:t>
            </w:r>
          </w:p>
          <w:p>
            <w:pPr>
              <w:spacing w:after="20"/>
              <w:ind w:left="20"/>
              <w:jc w:val="both"/>
            </w:pPr>
            <w:r>
              <w:rPr>
                <w:rFonts w:ascii="Times New Roman"/>
                <w:b w:val="false"/>
                <w:i w:val="false"/>
                <w:color w:val="000000"/>
                <w:sz w:val="20"/>
              </w:rPr>
              <w:t>
9401 59 000 0</w:t>
            </w:r>
          </w:p>
          <w:p>
            <w:pPr>
              <w:spacing w:after="20"/>
              <w:ind w:left="20"/>
              <w:jc w:val="both"/>
            </w:pPr>
            <w:r>
              <w:rPr>
                <w:rFonts w:ascii="Times New Roman"/>
                <w:b w:val="false"/>
                <w:i w:val="false"/>
                <w:color w:val="000000"/>
                <w:sz w:val="20"/>
              </w:rPr>
              <w:t>
9401 61 000 0</w:t>
            </w:r>
          </w:p>
          <w:p>
            <w:pPr>
              <w:spacing w:after="20"/>
              <w:ind w:left="20"/>
              <w:jc w:val="both"/>
            </w:pPr>
            <w:r>
              <w:rPr>
                <w:rFonts w:ascii="Times New Roman"/>
                <w:b w:val="false"/>
                <w:i w:val="false"/>
                <w:color w:val="000000"/>
                <w:sz w:val="20"/>
              </w:rPr>
              <w:t>
9401 69 000 0</w:t>
            </w:r>
          </w:p>
          <w:p>
            <w:pPr>
              <w:spacing w:after="20"/>
              <w:ind w:left="20"/>
              <w:jc w:val="both"/>
            </w:pPr>
            <w:r>
              <w:rPr>
                <w:rFonts w:ascii="Times New Roman"/>
                <w:b w:val="false"/>
                <w:i w:val="false"/>
                <w:color w:val="000000"/>
                <w:sz w:val="20"/>
              </w:rPr>
              <w:t>
9401 71 000 9</w:t>
            </w:r>
          </w:p>
          <w:p>
            <w:pPr>
              <w:spacing w:after="20"/>
              <w:ind w:left="20"/>
              <w:jc w:val="both"/>
            </w:pPr>
            <w:r>
              <w:rPr>
                <w:rFonts w:ascii="Times New Roman"/>
                <w:b w:val="false"/>
                <w:i w:val="false"/>
                <w:color w:val="000000"/>
                <w:sz w:val="20"/>
              </w:rPr>
              <w:t>
9401 79 000 9</w:t>
            </w:r>
          </w:p>
          <w:p>
            <w:pPr>
              <w:spacing w:after="20"/>
              <w:ind w:left="20"/>
              <w:jc w:val="both"/>
            </w:pPr>
            <w:r>
              <w:rPr>
                <w:rFonts w:ascii="Times New Roman"/>
                <w:b w:val="false"/>
                <w:i w:val="false"/>
                <w:color w:val="000000"/>
                <w:sz w:val="20"/>
              </w:rPr>
              <w:t>
9401 80 000 9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пайдалануға арналған аспалы, едендік және өзге де әткеншектер</w:t>
            </w:r>
          </w:p>
        </w:tc>
      </w:tr>
    </w:tbl>
    <w:p>
      <w:pPr>
        <w:spacing w:after="0"/>
        <w:ind w:left="0"/>
        <w:jc w:val="both"/>
      </w:pPr>
      <w:bookmarkStart w:name="z12" w:id="10"/>
      <w:r>
        <w:rPr>
          <w:rFonts w:ascii="Times New Roman"/>
          <w:b w:val="false"/>
          <w:i w:val="false"/>
          <w:color w:val="000000"/>
          <w:sz w:val="28"/>
        </w:rPr>
        <w:t xml:space="preserve">
      Ескертпелер: </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тізбені қолдану мақсаттары үшін өнімнің атауын (сипаттамасын) және мақсатын (4-бағанда келтірілген ескертпелерді ескере отырып), сондай-ақ ЕАЭО СЭҚ ТН кодын (кодтарын) басшылыққа алу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Ойыншықтар ретінде қарастырылмайтын және Кеден одағының "Ойыншықтардың қауіпсіздігі туралы" (КО ТР 008/2011) техникалық регламенті қолданылмайтын бұйымдардың тізбесі көрсетілген техникалық регламентке № 1 қосымшада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