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440b" w14:textId="2aa4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мақсаттағы, соның ішінде кіріктірілген не басқа тауарлар құрамына кіретін радиоэлектрондық құралдар мен жоғары жиілікті құрылғыларды Еуразиялық экономикалық одақтың кедендік аумағына әкелу туралы ережеге № 2 қосымшаның 21-тармағына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7 шілдедегі № 68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елдерге қатысты тарифтік емес реттеу шаралары туралы хаттаманың (2014 жылғы 29 мамырдағы Еуразиялық экономикалық одақ туралы шартқа № 7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мақсаттағы, соның ішінде кіріктірілген не басқа тауарлар құрамына кіретін радиоэлектрондық құралдар мен жоғары жиілікті құрылғыларды Еуразиялық экономикалық одақтың кедендік аумағына әкелу туралы ережеге № 2 қосымшаның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-тармағы (Еуразиялық экономикалық комиссия Алқасының 2015 жылғы 21 сәуірдегі № 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 қосымша) үшінші абзацтан кейін мынадай мазмұндағы абзацпен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"23,6 МГц +/– 1,06% немесе 23,35 – 23,85 МГц;".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