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aead" w14:textId="841a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операторларға берілетін арнайы оңайлатуды айқындау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шілдедегі № 114 шешімі.</w:t>
      </w:r>
    </w:p>
    <w:p>
      <w:pPr>
        <w:spacing w:after="0"/>
        <w:ind w:left="0"/>
        <w:jc w:val="both"/>
      </w:pPr>
      <w:bookmarkStart w:name="z0" w:id="0"/>
      <w:r>
        <w:rPr>
          <w:rFonts w:ascii="Times New Roman"/>
          <w:b w:val="false"/>
          <w:i w:val="false"/>
          <w:color w:val="000000"/>
          <w:sz w:val="28"/>
        </w:rPr>
        <w:t>
      Еуразиялық экономикалық одақтың Кеден кодексі 437-бабының 5-тармағына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12929-тармағына сәйкес Еуразиялық экономикалық комиссия Кеңесі шешті:</w:t>
      </w:r>
    </w:p>
    <w:bookmarkEnd w:id="0"/>
    <w:bookmarkStart w:name="z1" w:id="1"/>
    <w:p>
      <w:pPr>
        <w:spacing w:after="0"/>
        <w:ind w:left="0"/>
        <w:jc w:val="both"/>
      </w:pPr>
      <w:r>
        <w:rPr>
          <w:rFonts w:ascii="Times New Roman"/>
          <w:b w:val="false"/>
          <w:i w:val="false"/>
          <w:color w:val="000000"/>
          <w:sz w:val="28"/>
        </w:rPr>
        <w:t>
      1. Егер Еуразиялық экономикалық одаққа мүше мемлекеттердің заңнамасында өзгеше белгіленбесе, екінші немесе үшінші үлгідегі куәлік уәкілетті экономикалық операторлардың уақытша сақтаудағы шетелдік тауарларын сәйкестендіру құралдарымен таңбалау жөніндегі операцияларды жасау сияқты арнайы оңайлатуды уәкілетті экономикалық операторларға кеден органының рұқсатынсыз пайдалануға құқық береді деп айқындалсын.</w:t>
      </w:r>
    </w:p>
    <w:bookmarkEnd w:id="1"/>
    <w:bookmarkStart w:name="z2"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Республикасынан </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