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aead" w14:textId="841a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операторларға берілетін арнайы оңайлатуды айқындау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114 шешімі.</w:t>
      </w:r>
    </w:p>
    <w:p>
      <w:pPr>
        <w:spacing w:after="0"/>
        <w:ind w:left="0"/>
        <w:jc w:val="both"/>
      </w:pPr>
      <w:bookmarkStart w:name="z0" w:id="0"/>
      <w:r>
        <w:rPr>
          <w:rFonts w:ascii="Times New Roman"/>
          <w:b w:val="false"/>
          <w:i w:val="false"/>
          <w:color w:val="000000"/>
          <w:sz w:val="28"/>
        </w:rPr>
        <w:t>
      Еуразиялық экономикалық одақтың Кеден кодексі 437-бабының 5-тармағына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12929-тармағына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Егер Еуразиялық экономикалық одаққа мүше мемлекеттердің заңнамасында өзгеше белгіленбесе, екінші немесе үшінші үлгідегі куәлік уәкілетті экономикалық операторлардың уақытша сақтаудағы шетелдік тауарларын сәйкестендіру құралдарымен таңбалау жөніндегі операцияларды жасау сияқты арнайы оңайлатуды уәкілетті экономикалық операторларға кеден органының рұқсатынсыз пайдалануға құқық береді деп айқындалсын.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