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70bb" w14:textId="6ad7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 навигациялық пломбаларды пайдалана отырып, тауарларды транзиттік тасымалдарды қадағалау жүйесі негізінде тауарлардың кедендік транзитінің бірыңғай жүйесін дамыту бойынша іс-шаралар жоспары ("жол картасы") туралы</w:t>
      </w:r>
    </w:p>
    <w:p>
      <w:pPr>
        <w:spacing w:after="0"/>
        <w:ind w:left="0"/>
        <w:jc w:val="both"/>
      </w:pPr>
      <w:r>
        <w:rPr>
          <w:rFonts w:ascii="Times New Roman"/>
          <w:b w:val="false"/>
          <w:i w:val="false"/>
          <w:color w:val="000000"/>
          <w:sz w:val="28"/>
        </w:rPr>
        <w:t>Еуразиялық экономикалық комиссия Кеңесінің 2020 жылғы 21 ақпандағы № 4 өкімі</w:t>
      </w:r>
    </w:p>
    <w:p>
      <w:pPr>
        <w:spacing w:after="0"/>
        <w:ind w:left="0"/>
        <w:jc w:val="both"/>
      </w:pPr>
      <w:bookmarkStart w:name="z0" w:id="0"/>
      <w:r>
        <w:rPr>
          <w:rFonts w:ascii="Times New Roman"/>
          <w:b w:val="false"/>
          <w:i w:val="false"/>
          <w:color w:val="000000"/>
          <w:sz w:val="28"/>
        </w:rPr>
        <w:t>
      1. Қоса беріліп отырған Еуразиялық экономикалық одақта навигациялық пломбаларды пайдалана отырып, тауарларды транзиттік тасымалдарды қадағалау жүйесі негізінде тауарлардың кедендік транзитінің бірыңғай жүйесін дамыту бойынша іс-шаралар жоспары ("жол картасы") бекітілсін.</w:t>
      </w:r>
    </w:p>
    <w:bookmarkEnd w:id="0"/>
    <w:bookmarkStart w:name="z1" w:id="1"/>
    <w:p>
      <w:pPr>
        <w:spacing w:after="0"/>
        <w:ind w:left="0"/>
        <w:jc w:val="both"/>
      </w:pPr>
      <w:r>
        <w:rPr>
          <w:rFonts w:ascii="Times New Roman"/>
          <w:b w:val="false"/>
          <w:i w:val="false"/>
          <w:color w:val="000000"/>
          <w:sz w:val="28"/>
        </w:rPr>
        <w:t>
      2. Осы Өкім қол қойылған күнінен бастап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val="false"/>
          <w:color w:val="000000"/>
          <w:sz w:val="28"/>
        </w:rPr>
        <w:t xml:space="preserve">                  </w:t>
      </w:r>
      <w:r>
        <w:rPr>
          <w:rFonts w:ascii="Times New Roman"/>
          <w:b w:val="false"/>
          <w:i/>
          <w:color w:val="000000"/>
          <w:sz w:val="28"/>
        </w:rPr>
        <w:t>Ресей</w:t>
      </w:r>
    </w:p>
    <w:p>
      <w:pPr>
        <w:spacing w:after="0"/>
        <w:ind w:left="0"/>
        <w:jc w:val="both"/>
      </w:pP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ян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Э</w:t>
      </w:r>
      <w:r>
        <w:rPr>
          <w:rFonts w:ascii="Times New Roman"/>
          <w:b w:val="false"/>
          <w:i/>
          <w:color w:val="000000"/>
          <w:sz w:val="28"/>
        </w:rPr>
        <w:t>.</w:t>
      </w:r>
      <w:r>
        <w:rPr>
          <w:rFonts w:ascii="Times New Roman"/>
          <w:b w:val="false"/>
          <w:i/>
          <w:color w:val="000000"/>
          <w:sz w:val="28"/>
        </w:rPr>
        <w:t>Асрандиев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 2020 жылғы 21 ақпандағы № 4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Еуразиялық экономикалық одақта навигациялық пломбаларды пайдалана отырып, тауарларды транзиттік тасымалдарды қадағалау жүйесі негізінде тауарлардың кедендік транзитінің бірыңғай жүйесін дамыту бойынша іс-шаралар жоспары ("жол картасы")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мерзімі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w:t>
            </w:r>
            <w:r>
              <w:rPr>
                <w:rFonts w:ascii="Times New Roman"/>
                <w:b/>
                <w:i w:val="false"/>
                <w:color w:val="000000"/>
                <w:sz w:val="20"/>
              </w:rPr>
              <w:t>Еуразиялық экономикалық одақтың бірыңғай транзит жүйесі туралы келісімнің (бұдан әрі тиісінше – Одақ, Келісім) жобасы бойынша келіспеушіліктерді реттеу, мынадай мәселелерді қоса алғанда: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w:t>
            </w:r>
            <w:r>
              <w:rPr>
                <w:rFonts w:ascii="Times New Roman"/>
                <w:b/>
                <w:i w:val="false"/>
                <w:color w:val="000000"/>
                <w:sz w:val="20"/>
              </w:rPr>
              <w:t xml:space="preserve">тасымалдау кезінде техникалық (технологиялық) құралдар (электрондық навигациялық пломбалар)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w:t>
            </w:r>
            <w:r>
              <w:rPr>
                <w:rFonts w:ascii="Times New Roman"/>
                <w:b/>
                <w:i w:val="false"/>
                <w:color w:val="000000"/>
                <w:sz w:val="20"/>
              </w:rPr>
              <w:t>навигациялық</w:t>
            </w:r>
            <w:r>
              <w:rPr>
                <w:rFonts w:ascii="Times New Roman"/>
                <w:b w:val="false"/>
                <w:i w:val="false"/>
                <w:color w:val="000000"/>
                <w:sz w:val="20"/>
              </w:rPr>
              <w:t xml:space="preserve"> </w:t>
            </w:r>
            <w:r>
              <w:rPr>
                <w:rFonts w:ascii="Times New Roman"/>
                <w:b/>
                <w:i w:val="false"/>
                <w:color w:val="000000"/>
                <w:sz w:val="20"/>
              </w:rPr>
              <w:t>пломбалар</w:t>
            </w:r>
            <w:r>
              <w:rPr>
                <w:rFonts w:ascii="Times New Roman"/>
                <w:b/>
                <w:i w:val="false"/>
                <w:color w:val="000000"/>
                <w:sz w:val="20"/>
              </w:rPr>
              <w:t>)</w:t>
            </w:r>
            <w:r>
              <w:rPr>
                <w:rFonts w:ascii="Times New Roman"/>
                <w:b/>
                <w:i w:val="false"/>
                <w:color w:val="000000"/>
                <w:sz w:val="20"/>
              </w:rPr>
              <w:t xml:space="preserve"> пайдаланылатын көлік түрлері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w:t>
            </w:r>
            <w:r>
              <w:rPr>
                <w:rFonts w:ascii="Times New Roman"/>
                <w:b/>
                <w:i w:val="false"/>
                <w:color w:val="000000"/>
                <w:sz w:val="20"/>
              </w:rPr>
              <w:t>навигациялық</w:t>
            </w:r>
            <w:r>
              <w:rPr>
                <w:rFonts w:ascii="Times New Roman"/>
                <w:b w:val="false"/>
                <w:i w:val="false"/>
                <w:color w:val="000000"/>
                <w:sz w:val="20"/>
              </w:rPr>
              <w:t xml:space="preserve"> </w:t>
            </w:r>
            <w:r>
              <w:rPr>
                <w:rFonts w:ascii="Times New Roman"/>
                <w:b/>
                <w:i w:val="false"/>
                <w:color w:val="000000"/>
                <w:sz w:val="20"/>
              </w:rPr>
              <w:t>пломбалар</w:t>
            </w:r>
            <w:r>
              <w:rPr>
                <w:rFonts w:ascii="Times New Roman"/>
                <w:b/>
                <w:i w:val="false"/>
                <w:color w:val="000000"/>
                <w:sz w:val="20"/>
              </w:rPr>
              <w:t xml:space="preserve"> пайдаланыла отырып аумақтық қағидат бойынша, оның ішінде тауарларды мүше мемлекеттердің арасында үшінші елдердің аумақтары арқылы тасымалдау кезінде транзиттік тауарлар тасымалдарын қадағалау жүйесін (бұдан әрі – қадағалау жүйесі) қолдануды қамту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w:t>
            </w:r>
            <w:r>
              <w:rPr>
                <w:rFonts w:ascii="Times New Roman"/>
                <w:b/>
                <w:i w:val="false"/>
                <w:color w:val="000000"/>
                <w:sz w:val="20"/>
              </w:rPr>
              <w:t>қадағалау жүйесі қолданылатын жағдайлар және тауарлар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келіспеушіліктерді реттеу қорытындылары бойынша Келісім жобасын пысықтау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w:t>
            </w:r>
          </w:p>
          <w:p>
            <w:pPr>
              <w:spacing w:after="20"/>
              <w:ind w:left="20"/>
              <w:jc w:val="both"/>
            </w:pPr>
            <w:r>
              <w:rPr>
                <w:rFonts w:ascii="Times New Roman"/>
                <w:b w:val="false"/>
                <w:i w:val="false"/>
                <w:color w:val="000000"/>
                <w:sz w:val="20"/>
              </w:rPr>
              <w:t>
Одаққа мүше мемлекеттер (бұдан әрі –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 – II тоқсандары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жобасына мемлекетішілік келісуді жүргізу  және қажет болған жағдайда оны пысықтау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III – IV тоқсандары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Келісімге қол қою үшін қажетті мемлекетішілік рәсімдерді жүргізу және Келісімнің күшіне енуі үшін қажетті мемлекетішілік рәсімдерді жүргізу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 </w:t>
            </w:r>
          </w:p>
          <w:p>
            <w:pPr>
              <w:spacing w:after="20"/>
              <w:ind w:left="20"/>
              <w:jc w:val="both"/>
            </w:pPr>
            <w:r>
              <w:rPr>
                <w:rFonts w:ascii="Times New Roman"/>
                <w:b w:val="false"/>
                <w:i w:val="false"/>
                <w:color w:val="000000"/>
                <w:sz w:val="20"/>
              </w:rPr>
              <w:t>
I – II тоқсандары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w:t>
            </w:r>
            <w:r>
              <w:rPr>
                <w:rFonts w:ascii="Times New Roman"/>
                <w:b/>
                <w:i w:val="false"/>
                <w:color w:val="000000"/>
                <w:sz w:val="20"/>
              </w:rPr>
              <w:t>Мүше мемлекеттердегі қадағалау жүйесінің ұлттық операторларын (бұдан әрі – ұлттық операторлар) айқындау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 – II тоқсандары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w:t>
            </w:r>
            <w:r>
              <w:rPr>
                <w:rFonts w:ascii="Times New Roman"/>
                <w:b/>
                <w:i w:val="false"/>
                <w:color w:val="000000"/>
                <w:sz w:val="20"/>
              </w:rPr>
              <w:t xml:space="preserve">Тауарлардың кедендік транзиті кезінде мүше мемлекеттердің бірыңғай </w:t>
            </w:r>
            <w:r>
              <w:rPr>
                <w:rFonts w:ascii="Times New Roman"/>
                <w:b/>
                <w:i w:val="false"/>
                <w:color w:val="000000"/>
                <w:sz w:val="20"/>
              </w:rPr>
              <w:t>тәсілдемелерін</w:t>
            </w:r>
            <w:r>
              <w:rPr>
                <w:rFonts w:ascii="Times New Roman"/>
                <w:b/>
                <w:i w:val="false"/>
                <w:color w:val="000000"/>
                <w:sz w:val="20"/>
              </w:rPr>
              <w:t xml:space="preserve"> әзірлеу көзделетін қадағалау жүйесін қолдану моделін мына бөліктерде: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 </w:t>
            </w:r>
            <w:r>
              <w:rPr>
                <w:rFonts w:ascii="Times New Roman"/>
                <w:b/>
                <w:i w:val="false"/>
                <w:color w:val="000000"/>
                <w:sz w:val="20"/>
              </w:rPr>
              <w:t>навигациялық пломбаны қамтуға тиіс мәліметтердің құрамын</w:t>
            </w:r>
          </w:p>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 </w:t>
            </w:r>
            <w:r>
              <w:rPr>
                <w:rFonts w:ascii="Times New Roman"/>
                <w:b/>
                <w:i w:val="false"/>
                <w:color w:val="000000"/>
                <w:sz w:val="20"/>
              </w:rPr>
              <w:t>ұлттық операторлардың ақпараттық жүйелерінің өзара іс-қимылын (тікелей өздерінің арасында және (немесе) Одақтың интеграцияланған ақпараттық жүйесін пайдалана отырып)</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w:t>
            </w:r>
            <w:r>
              <w:rPr>
                <w:rFonts w:ascii="Times New Roman"/>
                <w:b/>
                <w:i w:val="false"/>
                <w:color w:val="000000"/>
                <w:sz w:val="20"/>
              </w:rPr>
              <w:t>навигациялық пломбаларды салуды және алуды жүзеге асыратын адамдарды (кеден органдарының қызметкерлері, уәкілетті ұйымдардың өкілдері, өзге де адамдар), сондай-ақ оларды салу және алу орындарын (Одақтың кедендік аумағынан тыс жерлер, Одақтың кедендік аумағында, жүру жолында)</w:t>
            </w:r>
          </w:p>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w:t>
            </w:r>
            <w:r>
              <w:rPr>
                <w:rFonts w:ascii="Times New Roman"/>
                <w:b/>
                <w:i w:val="false"/>
                <w:color w:val="000000"/>
                <w:sz w:val="20"/>
              </w:rPr>
              <w:t>навигациялық пломбаларды көлік құралын екі және одан да көп мүше мемлекеттердің аумақтары бойынша тасымалдау кезінде пайдалануды (1 пломба бүкіл жол жүру бойында немесе әрбір мүше мемлекетте жеке пломба)</w:t>
            </w:r>
          </w:p>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операторлар</w:t>
            </w:r>
            <w:r>
              <w:rPr>
                <w:rFonts w:ascii="Times New Roman"/>
                <w:b/>
                <w:i w:val="false"/>
                <w:color w:val="000000"/>
                <w:sz w:val="20"/>
              </w:rPr>
              <w:t xml:space="preserve"> мен </w:t>
            </w:r>
            <w:r>
              <w:rPr>
                <w:rFonts w:ascii="Times New Roman"/>
                <w:b/>
                <w:i w:val="false"/>
                <w:color w:val="000000"/>
                <w:sz w:val="20"/>
              </w:rPr>
              <w:t>кеден</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арасында</w:t>
            </w:r>
            <w:r>
              <w:rPr>
                <w:rFonts w:ascii="Times New Roman"/>
                <w:b w:val="false"/>
                <w:i w:val="false"/>
                <w:color w:val="000000"/>
                <w:sz w:val="20"/>
              </w:rPr>
              <w:t xml:space="preserve"> </w:t>
            </w:r>
            <w:r>
              <w:rPr>
                <w:rFonts w:ascii="Times New Roman"/>
                <w:b/>
                <w:i w:val="false"/>
                <w:color w:val="000000"/>
                <w:sz w:val="20"/>
              </w:rPr>
              <w:t>алмасуға жататын ақпараттың құрамын</w:t>
            </w:r>
          </w:p>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i w:val="false"/>
                <w:color w:val="000000"/>
                <w:sz w:val="20"/>
              </w:rPr>
              <w:t>) </w:t>
            </w:r>
            <w:r>
              <w:rPr>
                <w:rFonts w:ascii="Times New Roman"/>
                <w:b/>
                <w:i w:val="false"/>
                <w:color w:val="000000"/>
                <w:sz w:val="20"/>
              </w:rPr>
              <w:t>кеден органдарының ұлттық операторлардың ақпараттық жүйелеріне қол жеткізу (кеден органдарының өз мүше мемлекетінің ұлттық операторының ақпараттық жүйесіне немесе басқа мүше мемлекеттердің ұлттық операторларының ақпараттық жүйелеріне қол жеткізу) режимін</w:t>
            </w:r>
          </w:p>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 </w:t>
            </w:r>
            <w:r>
              <w:rPr>
                <w:rFonts w:ascii="Times New Roman"/>
                <w:b/>
                <w:i w:val="false"/>
                <w:color w:val="000000"/>
                <w:sz w:val="20"/>
              </w:rPr>
              <w:t>навигациялық пломбалардан әртүрлі сигналдар келіп түскен (қажетті сигналдар келіп түспеген) жағдайда кеден органдарының және процеске басқа да қатысушылардың әрекеттерін</w:t>
            </w:r>
          </w:p>
          <w:p>
            <w:pPr>
              <w:spacing w:after="20"/>
              <w:ind w:left="20"/>
              <w:jc w:val="both"/>
            </w:pPr>
            <w:r>
              <w:rPr>
                <w:rFonts w:ascii="Times New Roman"/>
                <w:b w:val="false"/>
                <w:i w:val="false"/>
                <w:color w:val="000000"/>
                <w:sz w:val="20"/>
              </w:rPr>
              <w:t>
</w:t>
            </w:r>
            <w:r>
              <w:rPr>
                <w:rFonts w:ascii="Times New Roman"/>
                <w:b/>
                <w:i w:val="false"/>
                <w:color w:val="000000"/>
                <w:sz w:val="20"/>
              </w:rPr>
              <w:t>з</w:t>
            </w:r>
            <w:r>
              <w:rPr>
                <w:rFonts w:ascii="Times New Roman"/>
                <w:b/>
                <w:i w:val="false"/>
                <w:color w:val="000000"/>
                <w:sz w:val="20"/>
              </w:rPr>
              <w:t>) </w:t>
            </w:r>
            <w:r>
              <w:rPr>
                <w:rFonts w:ascii="Times New Roman"/>
                <w:b/>
                <w:i w:val="false"/>
                <w:color w:val="000000"/>
                <w:sz w:val="20"/>
              </w:rPr>
              <w:t xml:space="preserve">кедендік және өзге де бақылау түрлерін қолдануды оңайлату жөніндегі ұсыныстарды қоса алғанда, навигациялық пломбаларды пайдалану кезінде мүше мемлекеттердің сыртқы экономикалық қызметке қатысушыларына берілуі мүмкін ықтимал артықшылықтарды (кедендік </w:t>
            </w:r>
            <w:r>
              <w:rPr>
                <w:rFonts w:ascii="Times New Roman"/>
                <w:b/>
                <w:i w:val="false"/>
                <w:color w:val="000000"/>
                <w:sz w:val="20"/>
              </w:rPr>
              <w:t>биресмиліктерді</w:t>
            </w:r>
            <w:r>
              <w:rPr>
                <w:rFonts w:ascii="Times New Roman"/>
                <w:b/>
                <w:i w:val="false"/>
                <w:color w:val="000000"/>
                <w:sz w:val="20"/>
              </w:rPr>
              <w:t xml:space="preserve">, кедендік транзит, көлік, карантиндік фитосанитариялық, </w:t>
            </w:r>
            <w:r>
              <w:rPr>
                <w:rFonts w:ascii="Times New Roman"/>
                <w:b/>
                <w:i w:val="false"/>
                <w:color w:val="000000"/>
                <w:sz w:val="20"/>
              </w:rPr>
              <w:t>ветеринариялық</w:t>
            </w:r>
            <w:r>
              <w:rPr>
                <w:rFonts w:ascii="Times New Roman"/>
                <w:b/>
                <w:i w:val="false"/>
                <w:color w:val="000000"/>
                <w:sz w:val="20"/>
              </w:rPr>
              <w:t xml:space="preserve"> бақылауды (қадағалауды))</w:t>
            </w:r>
          </w:p>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w:t>
            </w:r>
            <w:r>
              <w:rPr>
                <w:rFonts w:ascii="Times New Roman"/>
                <w:b/>
                <w:i w:val="false"/>
                <w:color w:val="000000"/>
                <w:sz w:val="20"/>
              </w:rPr>
              <w:t xml:space="preserve"> ұлттық оператордың кедендік баждар, салықтар, арнайы, демпингке қарсы, өтемақылық баждар төлеу жөніндегі </w:t>
            </w:r>
            <w:r>
              <w:rPr>
                <w:rFonts w:ascii="Times New Roman"/>
                <w:b/>
                <w:i w:val="false"/>
                <w:color w:val="000000"/>
                <w:sz w:val="20"/>
              </w:rPr>
              <w:t>декларантпен</w:t>
            </w:r>
            <w:r>
              <w:rPr>
                <w:rFonts w:ascii="Times New Roman"/>
                <w:b/>
                <w:i w:val="false"/>
                <w:color w:val="000000"/>
                <w:sz w:val="20"/>
              </w:rPr>
              <w:t xml:space="preserve"> ынтымақты міндеттерін, оның ішінде көрсетілген міндеттерді бір ұлттық оператордан екінші ұлттық операторға ауыстыруды (</w:t>
            </w:r>
            <w:r>
              <w:rPr>
                <w:rFonts w:ascii="Times New Roman"/>
                <w:b/>
                <w:i w:val="false"/>
                <w:color w:val="000000"/>
                <w:sz w:val="20"/>
              </w:rPr>
              <w:t>аражігін</w:t>
            </w:r>
            <w:r>
              <w:rPr>
                <w:rFonts w:ascii="Times New Roman"/>
                <w:b/>
                <w:i w:val="false"/>
                <w:color w:val="000000"/>
                <w:sz w:val="20"/>
              </w:rPr>
              <w:t xml:space="preserve"> ажыратуды)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Комиссияға </w:t>
            </w:r>
          </w:p>
          <w:p>
            <w:pPr>
              <w:spacing w:after="20"/>
              <w:ind w:left="20"/>
              <w:jc w:val="both"/>
            </w:pPr>
            <w:r>
              <w:rPr>
                <w:rFonts w:ascii="Times New Roman"/>
                <w:b w:val="false"/>
                <w:i w:val="false"/>
                <w:color w:val="000000"/>
                <w:sz w:val="20"/>
              </w:rPr>
              <w:t>
ұсыныстар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xml:space="preserve">
I тоқсаны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Кеңесінің өкімі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xml:space="preserve">
II тоқсаны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w:t>
            </w:r>
            <w:r>
              <w:rPr>
                <w:rFonts w:ascii="Times New Roman"/>
                <w:b/>
                <w:i w:val="false"/>
                <w:color w:val="000000"/>
                <w:sz w:val="20"/>
              </w:rPr>
              <w:t>Навигациялық пломбаларға қойылатын типтік талаптарды айқындау (Комиссия Алқасының тиісті шешімімен көзделген бірыңғай талаптар айқындалғанға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ұсынымдары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II тоқсаны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w:t>
            </w:r>
            <w:r>
              <w:rPr>
                <w:rFonts w:ascii="Times New Roman"/>
                <w:b/>
                <w:i w:val="false"/>
                <w:color w:val="000000"/>
                <w:sz w:val="20"/>
              </w:rPr>
              <w:t>Мүше мемлекеттерде тауарларды тасымалдау кезінде навигациялық пломбалардың пайдаланылуын тестілеу бойынша (біржақты және бірлескен) эксперименттер жүргізу, олардың нәтижелері қадағалау жүйесіне қатысты бөліктегі нормативтік құқықтық актілерді әзірлеу кезінде ескерілетін болады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эксперименттерге қатысушылардың оларды өткізу нәтижелері туралы ақпараты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 IV тоқсаны –</w:t>
            </w:r>
          </w:p>
          <w:p>
            <w:pPr>
              <w:spacing w:after="20"/>
              <w:ind w:left="20"/>
              <w:jc w:val="both"/>
            </w:pPr>
            <w:r>
              <w:rPr>
                <w:rFonts w:ascii="Times New Roman"/>
                <w:b w:val="false"/>
                <w:i w:val="false"/>
                <w:color w:val="000000"/>
                <w:sz w:val="20"/>
              </w:rPr>
              <w:t xml:space="preserve">
2020 ж II тоқсаны. </w:t>
            </w:r>
          </w:p>
          <w:p>
            <w:pPr>
              <w:spacing w:after="20"/>
              <w:ind w:left="20"/>
              <w:jc w:val="both"/>
            </w:pPr>
            <w:r>
              <w:rPr>
                <w:rFonts w:ascii="Times New Roman"/>
                <w:b w:val="false"/>
                <w:i w:val="false"/>
                <w:color w:val="000000"/>
                <w:sz w:val="20"/>
              </w:rPr>
              <w:t>
(Қырғыз Республикасы үшін −</w:t>
            </w:r>
          </w:p>
          <w:p>
            <w:pPr>
              <w:spacing w:after="20"/>
              <w:ind w:left="20"/>
              <w:jc w:val="both"/>
            </w:pPr>
            <w:r>
              <w:rPr>
                <w:rFonts w:ascii="Times New Roman"/>
                <w:b w:val="false"/>
                <w:i w:val="false"/>
                <w:color w:val="000000"/>
                <w:sz w:val="20"/>
              </w:rPr>
              <w:t>
 2019 ж. IV тоқсаны  −</w:t>
            </w:r>
          </w:p>
          <w:p>
            <w:pPr>
              <w:spacing w:after="20"/>
              <w:ind w:left="20"/>
              <w:jc w:val="both"/>
            </w:pPr>
            <w:r>
              <w:rPr>
                <w:rFonts w:ascii="Times New Roman"/>
                <w:b w:val="false"/>
                <w:i w:val="false"/>
                <w:color w:val="000000"/>
                <w:sz w:val="20"/>
              </w:rPr>
              <w:t>
2020 ж. III тоқсаны)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Тауарлардың кедендік транзиті кезіндегі тәуекелдерді азайтуға бағытталған шараларды қолдануға арналған </w:t>
            </w:r>
            <w:r>
              <w:rPr>
                <w:rFonts w:ascii="Times New Roman"/>
                <w:b/>
                <w:i w:val="false"/>
                <w:color w:val="000000"/>
                <w:sz w:val="20"/>
              </w:rPr>
              <w:t>тәсілдемелерді</w:t>
            </w:r>
            <w:r>
              <w:rPr>
                <w:rFonts w:ascii="Times New Roman"/>
                <w:b/>
                <w:i w:val="false"/>
                <w:color w:val="000000"/>
                <w:sz w:val="20"/>
              </w:rPr>
              <w:t xml:space="preserve"> бірдейлендіру жөніндегі мәселелерді пысықтау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одағына мүше мемлекеттердің кеден қызметтері бірлескен алқасының шешімі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мүше мемлекеттердің кеден қызметтерінің бірлескен алқасы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I тоқсаны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w:t>
            </w:r>
            <w:r>
              <w:rPr>
                <w:rFonts w:ascii="Times New Roman"/>
                <w:b/>
                <w:i w:val="false"/>
                <w:color w:val="000000"/>
                <w:sz w:val="20"/>
              </w:rPr>
              <w:t xml:space="preserve">Кедендік </w:t>
            </w:r>
            <w:r>
              <w:rPr>
                <w:rFonts w:ascii="Times New Roman"/>
                <w:b/>
                <w:i w:val="false"/>
                <w:color w:val="000000"/>
                <w:sz w:val="20"/>
              </w:rPr>
              <w:t>трназиттің</w:t>
            </w:r>
            <w:r>
              <w:rPr>
                <w:rFonts w:ascii="Times New Roman"/>
                <w:b/>
                <w:i w:val="false"/>
                <w:color w:val="000000"/>
                <w:sz w:val="20"/>
              </w:rPr>
              <w:t xml:space="preserve"> кедендік рәсіміне сәйкес тауарларды тасу (тасымалдау) кезінде кедендік баждарды, салықтарды, арнайы, демпингке қарсы, өтемақылық баждарды төлеу жөніндегі міндеттердің орындалуын қамтамасыз етуді қолданудың ерекшеліктері туралы келісімнің жобасын оған қол қою үшін қажетті </w:t>
            </w:r>
            <w:r>
              <w:rPr>
                <w:rFonts w:ascii="Times New Roman"/>
                <w:b/>
                <w:i w:val="false"/>
                <w:color w:val="000000"/>
                <w:sz w:val="20"/>
              </w:rPr>
              <w:t>мемлекетішілік</w:t>
            </w:r>
            <w:r>
              <w:rPr>
                <w:rFonts w:ascii="Times New Roman"/>
                <w:b/>
                <w:i w:val="false"/>
                <w:color w:val="000000"/>
                <w:sz w:val="20"/>
              </w:rPr>
              <w:t xml:space="preserve"> рәсімдерді жүргізу үшін мүше мемлекеттерге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Кеңесінің өкімі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 – II тоқсандары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w:t>
            </w:r>
            <w:r>
              <w:rPr>
                <w:rFonts w:ascii="Times New Roman"/>
                <w:b/>
                <w:i w:val="false"/>
                <w:color w:val="000000"/>
                <w:sz w:val="20"/>
              </w:rPr>
              <w:t>2017 жылғы 11 сәуірдегі Еуразиялық экономикалық одақтың Кеден кодексі туралы шартқа Келісімді және қадағалау жүйесін қолдануды қамтамасыз ету үшін қажетті өзгерістер енгізу туралы ұсыныстар дайындау (бұдан әрі – Өзгерістер енгізу туралы хаттама)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туралы хаттама жобасын 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 – II тоқсандары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туралы хаттама жобасына мемлекетішілік келісуді жүргізу және  қажет болған жағдайда оны пысықтау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 </w:t>
            </w:r>
          </w:p>
          <w:p>
            <w:pPr>
              <w:spacing w:after="20"/>
              <w:ind w:left="20"/>
              <w:jc w:val="both"/>
            </w:pPr>
            <w:r>
              <w:rPr>
                <w:rFonts w:ascii="Times New Roman"/>
                <w:b w:val="false"/>
                <w:i w:val="false"/>
                <w:color w:val="000000"/>
                <w:sz w:val="20"/>
              </w:rPr>
              <w:t>
III – IV тоқсандары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туралы хаттамаға қол қою үшін қажетті мемлекетішілік рәсімдерді жүргізу және Өзгерістер енгізу туралы хаттаманың күшіне енуі үшін қажетті мемлекетішілік рәсімдерді жүргізу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w:t>
            </w:r>
          </w:p>
          <w:p>
            <w:pPr>
              <w:spacing w:after="20"/>
              <w:ind w:left="20"/>
              <w:jc w:val="both"/>
            </w:pPr>
            <w:r>
              <w:rPr>
                <w:rFonts w:ascii="Times New Roman"/>
                <w:b w:val="false"/>
                <w:i w:val="false"/>
                <w:color w:val="000000"/>
                <w:sz w:val="20"/>
              </w:rPr>
              <w:t xml:space="preserve">
I – II тоқсандары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w:t>
            </w:r>
            <w:r>
              <w:rPr>
                <w:rFonts w:ascii="Times New Roman"/>
                <w:b/>
                <w:i w:val="false"/>
                <w:color w:val="000000"/>
                <w:sz w:val="20"/>
              </w:rPr>
              <w:t>Өзгерістер енгізу туралы хаттамамен берілген құзыреттің шегінде навигациялық пломбаларға қойылатын типтік талаптарды және навигациялық пломбалардан әртүрлі сигналдар келіп түскен (қажетті сигналдар келіп түспеген) жағдайда кеден органдарының және процеске басқа да қатысушылардың әрекет ету тәртібін айқындауды қоса алғанда, Еуразиялық экономикалық одақтың Кеден кодексінде айқындалған өкілеттіктерге сәйкес тауарлардың кедендік транзиті кезінде қадағалау жүйесін қолдануды қамтамасыз ететін Комиссия актілерін және мүше мемлекеттердің нормативтік құқықтық актілерін әзірлеу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актілері, мүше мемлекеттердің нормативтік құқықтық актілері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туралы хаттамаға қол қойылған күннен бастап жарты жыл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w:t>
            </w:r>
            <w:r>
              <w:rPr>
                <w:rFonts w:ascii="Times New Roman"/>
                <w:b/>
                <w:i w:val="false"/>
                <w:color w:val="000000"/>
                <w:sz w:val="20"/>
              </w:rPr>
              <w:t>Қадағалау жүйесінің Одақтың басқа да цифрлық жобаларымен өзара іс-қимылын ұйымдастыру бойынша ұсыныстар әзірлеу (тауарлардың қадағалануы, цифрлық көлік дәліздері, электрондық ілеспе құжаттар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цифрлық күн тәртібі шеңберіндегі жобалардың жалпы функционалдық инфрақұрылым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I – II тоқсандары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11. </w:t>
            </w:r>
            <w:r>
              <w:rPr>
                <w:rFonts w:ascii="Times New Roman"/>
                <w:b/>
                <w:i w:val="false"/>
                <w:color w:val="000000"/>
                <w:sz w:val="20"/>
              </w:rPr>
              <w:t>Навигациялық пломбаларды пайдаланумен байланысты кедендік қағидаларды бұзғандық үшін белгіленген санкциялардың мөлшерлестігін қамтамасыз ету үшін мүше мемлекеттердің әкімшілік заңнамасында көзделген нормаларды жақындастыру бойынша жұмыстар жүргізу және Комиссия Кеңесіне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баяндамасы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r>
              <w:rPr>
                <w:rFonts w:ascii="Times New Roman"/>
                <w:b w:val="false"/>
                <w:i w:val="false"/>
                <w:color w:val="000000"/>
                <w:sz w:val="20"/>
              </w:rPr>
              <w:t xml:space="preserve">
IV тоқсаны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