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03d" w14:textId="60ad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қаңтардағы № 4 шешімі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құн декларациясының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мемлекеттерден осы Шешіммен бекітілген құрылым мен форматты 2018 жылғы 1 шілдеден бастап қолдануды қамтамасыз ету сұралсын. </w:t>
      </w:r>
    </w:p>
    <w:bookmarkEnd w:id="2"/>
    <w:bookmarkStart w:name="z4" w:id="3"/>
    <w:p>
      <w:pPr>
        <w:spacing w:after="0"/>
        <w:ind w:left="0"/>
        <w:jc w:val="both"/>
      </w:pPr>
      <w:r>
        <w:rPr>
          <w:rFonts w:ascii="Times New Roman"/>
          <w:b w:val="false"/>
          <w:i w:val="false"/>
          <w:color w:val="000000"/>
          <w:sz w:val="28"/>
        </w:rPr>
        <w:t>
      3. 2018 жылғы 1 шілдеден бастап Еуразиялық экономикалық комиссия Алқасының "Кедендік құжаттардың электрондық көшірмелерінің құрылымдары мен форматтары туралы" 2013 жылғы 12 қарашадағы № 254 шешімінің 1-тармағы бесінші абзацының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4. Осы Шешім ресми жарияланған күнінен бастап күнтізбелік 30 күн өткен соң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Кедендік құн декларациясының </w:t>
      </w:r>
      <w:r>
        <w:br/>
      </w:r>
      <w:r>
        <w:rPr>
          <w:rFonts w:ascii="Times New Roman"/>
          <w:b/>
          <w:i w:val="false"/>
          <w:color w:val="000000"/>
        </w:rPr>
        <w:t>ҚҰРЫЛЫМЫ МЕН ФОРМАТЫ</w:t>
      </w:r>
    </w:p>
    <w:bookmarkEnd w:id="5"/>
    <w:bookmarkStart w:name="z8" w:id="6"/>
    <w:p>
      <w:pPr>
        <w:spacing w:after="0"/>
        <w:ind w:left="0"/>
        <w:jc w:val="both"/>
      </w:pPr>
      <w:r>
        <w:rPr>
          <w:rFonts w:ascii="Times New Roman"/>
          <w:b w:val="false"/>
          <w:i w:val="false"/>
          <w:color w:val="000000"/>
          <w:sz w:val="28"/>
        </w:rPr>
        <w:t xml:space="preserve">
      1. Осы құжат электрондық құжат түріндегі кедендік құн декларациясының (бұдан әрі – кедендік құнның электрондық декларациясы) және қағаз жеткізгіштегі құжат түріндегі кедендік құн декларациясының электрондық түрінің (бұдан әрі – кедендік құн декларациясының электрондық түрі) құрылымы мен форматын айқындайды. </w:t>
      </w:r>
    </w:p>
    <w:bookmarkEnd w:id="6"/>
    <w:bookmarkStart w:name="z9" w:id="7"/>
    <w:p>
      <w:pPr>
        <w:spacing w:after="0"/>
        <w:ind w:left="0"/>
        <w:jc w:val="both"/>
      </w:pPr>
      <w:r>
        <w:rPr>
          <w:rFonts w:ascii="Times New Roman"/>
          <w:b w:val="false"/>
          <w:i w:val="false"/>
          <w:color w:val="000000"/>
          <w:sz w:val="28"/>
        </w:rPr>
        <w:t>
      2. Кедендік құнның электрондық декларациясына электрондық цифрлық қолтаңбамен (электрондық қолтаңбамен) қол қойылады.</w:t>
      </w:r>
    </w:p>
    <w:bookmarkEnd w:id="7"/>
    <w:p>
      <w:pPr>
        <w:spacing w:after="0"/>
        <w:ind w:left="0"/>
        <w:jc w:val="both"/>
      </w:pPr>
      <w:r>
        <w:rPr>
          <w:rFonts w:ascii="Times New Roman"/>
          <w:b w:val="false"/>
          <w:i w:val="false"/>
          <w:color w:val="000000"/>
          <w:sz w:val="28"/>
        </w:rPr>
        <w:t>
      Трансшекаралық алмасу мақсаттары үшін электрондық декларацияға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 арасындағы трансшекаралық өзара іс-қимыл жасау кезінде электрондық құжаттармен алмасу туралы ережеге сәйкес, ал Еуразиялық экономикалық одаққа мүше мемлекеттің бірінің аумағында пайдалану үшін – осы мемлекеттің заңнамасына сәйкес электрондық цифрлық қолтаңбамен (электрондық қолтаңбамен) қол қойылады.</w:t>
      </w:r>
    </w:p>
    <w:bookmarkStart w:name="z10" w:id="8"/>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8"/>
    <w:bookmarkStart w:name="z11" w:id="9"/>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9"/>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 Сыртқы экономикалық қызметінің бірыңғай тауар номенклатурасы.</w:t>
      </w:r>
    </w:p>
    <w:bookmarkStart w:name="z12" w:id="10"/>
    <w:p>
      <w:pPr>
        <w:spacing w:after="0"/>
        <w:ind w:left="0"/>
        <w:jc w:val="both"/>
      </w:pPr>
      <w:r>
        <w:rPr>
          <w:rFonts w:ascii="Times New Roman"/>
          <w:b w:val="false"/>
          <w:i w:val="false"/>
          <w:color w:val="000000"/>
          <w:sz w:val="28"/>
        </w:rPr>
        <w:t>
      4. Кедендік құнның электрондық декларациясы және кедендік құн декларациясының электрондық түрі осы құжатта айқындалатын кедендік құн декларациясының құрылымына сәйкес мынадай стандарттардың талаптары ескеріле отырып, XML-форматта қалыптастырылады:</w:t>
      </w:r>
    </w:p>
    <w:bookmarkEnd w:id="10"/>
    <w:p>
      <w:pPr>
        <w:spacing w:after="0"/>
        <w:ind w:left="0"/>
        <w:jc w:val="both"/>
      </w:pPr>
      <w:r>
        <w:rPr>
          <w:rFonts w:ascii="Times New Roman"/>
          <w:b w:val="false"/>
          <w:i w:val="false"/>
          <w:color w:val="000000"/>
          <w:sz w:val="28"/>
        </w:rPr>
        <w:t>
      "Extensible Markup Language (XML) 1.0 (Fouth Edition)"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мекенжайлары бойынша ақпараттық-телекоммуникациялық "Интернет" желісінде жарияланған.</w:t>
      </w:r>
    </w:p>
    <w:bookmarkStart w:name="z13" w:id="11"/>
    <w:p>
      <w:pPr>
        <w:spacing w:after="0"/>
        <w:ind w:left="0"/>
        <w:jc w:val="both"/>
      </w:pPr>
      <w:r>
        <w:rPr>
          <w:rFonts w:ascii="Times New Roman"/>
          <w:b w:val="false"/>
          <w:i w:val="false"/>
          <w:color w:val="000000"/>
          <w:sz w:val="28"/>
        </w:rPr>
        <w:t>
      5. Кедендік құн декларациясының құрылымы қарапайым (атомдық) деректемелерге дейінгі иерархия деңгейлері ескеріле отырып, кедендік құн декларациясының құрылымы туралы жалпы мәліметтер, аттардың импортталатын кеңістіктері (объектілері кедендік құн декларациясы құрылымының аттар кеңістіктерінің объектілерін жобалау кезінде пайдаланылған аттардың кеңістіктері), кедендік құн декларациясы құрылымының деректемелік құрамы көрсетіліп, кесте нысанында беріледі.</w:t>
      </w:r>
    </w:p>
    <w:bookmarkEnd w:id="11"/>
    <w:bookmarkStart w:name="z14" w:id="12"/>
    <w:p>
      <w:pPr>
        <w:spacing w:after="0"/>
        <w:ind w:left="0"/>
        <w:jc w:val="both"/>
      </w:pPr>
      <w:r>
        <w:rPr>
          <w:rFonts w:ascii="Times New Roman"/>
          <w:b w:val="false"/>
          <w:i w:val="false"/>
          <w:color w:val="000000"/>
          <w:sz w:val="28"/>
        </w:rPr>
        <w:t>
      6. Кедендік құн декларациясының құрылымы туралы жалпы мәліметтер 1-кестеде келтірілген.</w:t>
      </w:r>
    </w:p>
    <w:bookmarkEnd w:id="12"/>
    <w:bookmarkStart w:name="z15" w:id="13"/>
    <w:p>
      <w:pPr>
        <w:spacing w:after="0"/>
        <w:ind w:left="0"/>
        <w:jc w:val="both"/>
      </w:pPr>
      <w:r>
        <w:rPr>
          <w:rFonts w:ascii="Times New Roman"/>
          <w:b w:val="false"/>
          <w:i w:val="false"/>
          <w:color w:val="000000"/>
          <w:sz w:val="28"/>
        </w:rPr>
        <w:t>
      1-кесте</w:t>
      </w:r>
    </w:p>
    <w:bookmarkEnd w:id="13"/>
    <w:bookmarkStart w:name="z16" w:id="14"/>
    <w:p>
      <w:pPr>
        <w:spacing w:after="0"/>
        <w:ind w:left="0"/>
        <w:jc w:val="left"/>
      </w:pPr>
      <w:r>
        <w:rPr>
          <w:rFonts w:ascii="Times New Roman"/>
          <w:b/>
          <w:i w:val="false"/>
          <w:color w:val="000000"/>
        </w:rPr>
        <w:t xml:space="preserve"> Кедендік құн декларациясының құрылымы туралы жалпы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urn:EEC:R:038:CustomsValueDeclaration:v1.0.0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GustomsValueDeclaration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EEC_R_038_CustomsValueDeclaration_v1.0.0.xsd</w:t>
            </w:r>
          </w:p>
        </w:tc>
      </w:tr>
    </w:tbl>
    <w:bookmarkStart w:name="z17" w:id="15"/>
    <w:p>
      <w:pPr>
        <w:spacing w:after="0"/>
        <w:ind w:left="0"/>
        <w:jc w:val="both"/>
      </w:pPr>
      <w:r>
        <w:rPr>
          <w:rFonts w:ascii="Times New Roman"/>
          <w:b w:val="false"/>
          <w:i w:val="false"/>
          <w:color w:val="000000"/>
          <w:sz w:val="28"/>
        </w:rPr>
        <w:t>
      7. Импортталатын аттар кеңістігі 2-кестеде келтірілген.</w:t>
      </w:r>
    </w:p>
    <w:bookmarkEnd w:id="15"/>
    <w:bookmarkStart w:name="z18" w:id="16"/>
    <w:p>
      <w:pPr>
        <w:spacing w:after="0"/>
        <w:ind w:left="0"/>
        <w:jc w:val="both"/>
      </w:pPr>
      <w:r>
        <w:rPr>
          <w:rFonts w:ascii="Times New Roman"/>
          <w:b w:val="false"/>
          <w:i w:val="false"/>
          <w:color w:val="000000"/>
          <w:sz w:val="28"/>
        </w:rPr>
        <w:t>
      2-кесте</w:t>
      </w:r>
    </w:p>
    <w:bookmarkEnd w:id="16"/>
    <w:bookmarkStart w:name="z19" w:id="17"/>
    <w:p>
      <w:pPr>
        <w:spacing w:after="0"/>
        <w:ind w:left="0"/>
        <w:jc w:val="left"/>
      </w:pPr>
      <w:r>
        <w:rPr>
          <w:rFonts w:ascii="Times New Roman"/>
          <w:b/>
          <w:i w:val="false"/>
          <w:color w:val="000000"/>
        </w:rPr>
        <w:t xml:space="preserve"> Импортталатын аттар кеңістігі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0" w:id="18"/>
    <w:p>
      <w:pPr>
        <w:spacing w:after="0"/>
        <w:ind w:left="0"/>
        <w:jc w:val="both"/>
      </w:pPr>
      <w:r>
        <w:rPr>
          <w:rFonts w:ascii="Times New Roman"/>
          <w:b w:val="false"/>
          <w:i w:val="false"/>
          <w:color w:val="000000"/>
          <w:sz w:val="28"/>
        </w:rPr>
        <w:t>
      Импортталатын аттар кеңістігіндегі "X.X.X" символдары кедендік құн декларациясының құрылымын әзірлеу кезінде пайдаланылған деректер моделінің құрамдас бөліктері нұсқаларының нөмірлеріне сәйкес келеді.</w:t>
      </w:r>
    </w:p>
    <w:bookmarkEnd w:id="18"/>
    <w:bookmarkStart w:name="z21" w:id="19"/>
    <w:p>
      <w:pPr>
        <w:spacing w:after="0"/>
        <w:ind w:left="0"/>
        <w:jc w:val="both"/>
      </w:pPr>
      <w:r>
        <w:rPr>
          <w:rFonts w:ascii="Times New Roman"/>
          <w:b w:val="false"/>
          <w:i w:val="false"/>
          <w:color w:val="000000"/>
          <w:sz w:val="28"/>
        </w:rPr>
        <w:t>
      8. Кедендік құн декларациясы құрылымының деректемелік құрамы 3-кестеде келтірілген.</w:t>
      </w:r>
    </w:p>
    <w:bookmarkEnd w:id="19"/>
    <w:bookmarkStart w:name="z22" w:id="20"/>
    <w:p>
      <w:pPr>
        <w:spacing w:after="0"/>
        <w:ind w:left="0"/>
        <w:jc w:val="both"/>
      </w:pPr>
      <w:r>
        <w:rPr>
          <w:rFonts w:ascii="Times New Roman"/>
          <w:b w:val="false"/>
          <w:i w:val="false"/>
          <w:color w:val="000000"/>
          <w:sz w:val="28"/>
        </w:rPr>
        <w:t>
      Кестеде мынадай жолдар (графалар) қалыптастырылады:</w:t>
      </w:r>
    </w:p>
    <w:bookmarkEnd w:id="20"/>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сөзбен қалыптасқан немесе ресми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 типі" –  деректеменің мәндер саласын беретін деректер моделінің объектісі туралы мәліметтер;</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p>
      <w:pPr>
        <w:spacing w:after="0"/>
        <w:ind w:left="0"/>
        <w:jc w:val="both"/>
      </w:pPr>
      <w:r>
        <w:rPr>
          <w:rFonts w:ascii="Times New Roman"/>
          <w:b w:val="false"/>
          <w:i w:val="false"/>
          <w:color w:val="000000"/>
          <w:sz w:val="28"/>
        </w:rPr>
        <w:t>
      "ескертпе" – деректеменің толтырылуын түсіндіретін мәтін.</w:t>
      </w:r>
    </w:p>
    <w:bookmarkStart w:name="z23" w:id="21"/>
    <w:p>
      <w:pPr>
        <w:spacing w:after="0"/>
        <w:ind w:left="0"/>
        <w:jc w:val="both"/>
      </w:pPr>
      <w:r>
        <w:rPr>
          <w:rFonts w:ascii="Times New Roman"/>
          <w:b w:val="false"/>
          <w:i w:val="false"/>
          <w:color w:val="000000"/>
          <w:sz w:val="28"/>
        </w:rPr>
        <w:t>
      Деректемелердің көптігін көрсету үшін мынадай белгіленімдер пайдаланылады:</w:t>
      </w:r>
    </w:p>
    <w:bookmarkEnd w:id="2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4" w:id="22"/>
    <w:p>
      <w:pPr>
        <w:spacing w:after="0"/>
        <w:ind w:left="0"/>
        <w:jc w:val="both"/>
      </w:pPr>
      <w:r>
        <w:rPr>
          <w:rFonts w:ascii="Times New Roman"/>
          <w:b w:val="false"/>
          <w:i w:val="false"/>
          <w:color w:val="000000"/>
          <w:sz w:val="28"/>
        </w:rPr>
        <w:t>
      3-кесте</w:t>
      </w:r>
    </w:p>
    <w:bookmarkEnd w:id="22"/>
    <w:bookmarkStart w:name="z25" w:id="23"/>
    <w:p>
      <w:pPr>
        <w:spacing w:after="0"/>
        <w:ind w:left="0"/>
        <w:jc w:val="left"/>
      </w:pPr>
      <w:r>
        <w:rPr>
          <w:rFonts w:ascii="Times New Roman"/>
          <w:b/>
          <w:i w:val="false"/>
          <w:color w:val="000000"/>
        </w:rPr>
        <w:t xml:space="preserve"> Кедендік құн декларациясы құрылымының деректемелік құрамы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бірдей мәнде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[0-9a-fA-F]{8}-[0-9a-fA-F]{4}-[0-9a-fA-F]{4}-[0-9a-fA-F]{4}-[0-9a-fA-F]{12} шаблонына сәйкес келуге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[0-9a-fA-F]{8}-[0-9a-fA-F]{4}-[0-9a-fA-F]{4}-[0-9a-fA-F]{4}-[0-9a-fA-F]{12} шаблонына сәйкес келуге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мәнінде YYYY-MM-DDThh:mm:ss.ccc±hh:mm шаблонына сәйкес келтірілетін Дүниежүзілік уақытпен айырмашылық көрсетіле отырып, жергілікті уақыт мәні түрінде электрондық құжаттың (мәліметтердің) қалыптастырылған күні қамтылуға тиіс, мұнда ccc – миллисекунд мәнін білдіретін символдар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құжаттың тіркеу нөмірі</w:t>
            </w:r>
          </w:p>
          <w:p>
            <w:pPr>
              <w:spacing w:after="20"/>
              <w:ind w:left="20"/>
              <w:jc w:val="both"/>
            </w:pPr>
            <w:r>
              <w:rPr>
                <w:rFonts w:ascii="Times New Roman"/>
                <w:b w:val="false"/>
                <w:i w:val="false"/>
                <w:color w:val="000000"/>
                <w:sz w:val="20"/>
              </w:rPr>
              <w:t>
(cacdo: Customs Declaration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EDoc Indicator Code 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мынадай мәндердің біреуі қамтылуға тиіс:</w:t>
            </w:r>
          </w:p>
          <w:p>
            <w:pPr>
              <w:spacing w:after="20"/>
              <w:ind w:left="20"/>
              <w:jc w:val="both"/>
            </w:pPr>
            <w:r>
              <w:rPr>
                <w:rFonts w:ascii="Times New Roman"/>
                <w:b w:val="false"/>
                <w:i w:val="false"/>
                <w:color w:val="000000"/>
                <w:sz w:val="20"/>
              </w:rPr>
              <w:t>
ЭҚ – егер кедендік құн декларациясы электрондық құжат түрінде қалыптастырылса;</w:t>
            </w:r>
          </w:p>
          <w:p>
            <w:pPr>
              <w:spacing w:after="20"/>
              <w:ind w:left="20"/>
              <w:jc w:val="both"/>
            </w:pPr>
            <w:r>
              <w:rPr>
                <w:rFonts w:ascii="Times New Roman"/>
                <w:b w:val="false"/>
                <w:i w:val="false"/>
                <w:color w:val="000000"/>
                <w:sz w:val="20"/>
              </w:rPr>
              <w:t>
ҚЖ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 Reference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тауаларға арналған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 CVDForm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декларациясы нысанының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Ұзындық: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1 – КҚД-1;</w:t>
            </w:r>
          </w:p>
          <w:p>
            <w:pPr>
              <w:spacing w:after="20"/>
              <w:ind w:left="20"/>
              <w:jc w:val="both"/>
            </w:pPr>
            <w:r>
              <w:rPr>
                <w:rFonts w:ascii="Times New Roman"/>
                <w:b w:val="false"/>
                <w:i w:val="false"/>
                <w:color w:val="000000"/>
                <w:sz w:val="20"/>
              </w:rPr>
              <w:t>
2 – КҚД-2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құнын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 Base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құнын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 Add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Quantity6 Type (M.SDT.00106)</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 Seller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Details 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деректеменің мәнінде ұйымдық-құқықтық нысаны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субъектісінің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тізілімі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коды</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 Buyer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CASubject Details 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деректеменің мәнінде ұйымдық-құқықтық нысаны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субъектісінің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тізілімі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коды</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 Declarant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Declarant Details 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деректеменің мәнінде ұйымдық-құқықтық нысаны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субъектісінің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тізілімі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коды</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сәйкестендіргіші (csdo:BusinessEntityId)" деректемесі толтырылған жағдайда атрибутта мыналар қамтылуға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деректемесінде "ТЕ" немесе "FX" мәні қамтылған жағдайда, "Байланыс арнасының сәйкестендіргіші (csdo: Communication Channel 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14.14. Оқшауланған бөлімше </w:t>
            </w:r>
          </w:p>
          <w:p>
            <w:pPr>
              <w:spacing w:after="20"/>
              <w:ind w:left="20"/>
              <w:jc w:val="both"/>
            </w:pPr>
            <w:r>
              <w:rPr>
                <w:rFonts w:ascii="Times New Roman"/>
                <w:b w:val="false"/>
                <w:i w:val="false"/>
                <w:color w:val="000000"/>
                <w:sz w:val="20"/>
              </w:rPr>
              <w:t>
(cacdo: Subject Branch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субъектісінің сәйкестендіргіші</w:t>
            </w:r>
          </w:p>
          <w:p>
            <w:pPr>
              <w:spacing w:after="20"/>
              <w:ind w:left="20"/>
              <w:jc w:val="both"/>
            </w:pPr>
            <w:r>
              <w:rPr>
                <w:rFonts w:ascii="Times New Roman"/>
                <w:b w:val="false"/>
                <w:i w:val="false"/>
                <w:color w:val="000000"/>
                <w:sz w:val="20"/>
              </w:rPr>
              <w:t>
(csdo: Business Entity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тізілімі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коды</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операторлардың тізіліміне енгізу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14.15.2. Тізілімге енгізу кезіндегі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14.15.4. Куәлік типінің коды</w:t>
            </w:r>
          </w:p>
          <w:p>
            <w:pPr>
              <w:spacing w:after="20"/>
              <w:ind w:left="20"/>
              <w:jc w:val="both"/>
            </w:pPr>
            <w:r>
              <w:rPr>
                <w:rFonts w:ascii="Times New Roman"/>
                <w:b w:val="false"/>
                <w:i w:val="false"/>
                <w:color w:val="000000"/>
                <w:sz w:val="20"/>
              </w:rPr>
              <w:t>
(casdo: AEORegistry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Ұзындық: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15. Беру шарттары</w:t>
            </w:r>
          </w:p>
          <w:p>
            <w:pPr>
              <w:spacing w:after="20"/>
              <w:ind w:left="20"/>
              <w:jc w:val="both"/>
            </w:pPr>
            <w:r>
              <w:rPr>
                <w:rFonts w:ascii="Times New Roman"/>
                <w:b w:val="false"/>
                <w:i w:val="false"/>
                <w:color w:val="000000"/>
                <w:sz w:val="20"/>
              </w:rPr>
              <w:t>
(cacdo: Delivery Terms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 Delivery Terms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беру шарттарының сыныптауышына сәйкес кодтың мәні.</w:t>
            </w:r>
          </w:p>
          <w:p>
            <w:pPr>
              <w:spacing w:after="20"/>
              <w:ind w:left="20"/>
              <w:jc w:val="both"/>
            </w:pPr>
            <w:r>
              <w:rPr>
                <w:rFonts w:ascii="Times New Roman"/>
                <w:b w:val="false"/>
                <w:i w:val="false"/>
                <w:color w:val="000000"/>
                <w:sz w:val="20"/>
              </w:rPr>
              <w:t>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 Delivery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берудің түрі кодының мәні.</w:t>
            </w:r>
          </w:p>
          <w:p>
            <w:pPr>
              <w:spacing w:after="20"/>
              <w:ind w:left="20"/>
              <w:jc w:val="both"/>
            </w:pPr>
            <w:r>
              <w:rPr>
                <w:rFonts w:ascii="Times New Roman"/>
                <w:b w:val="false"/>
                <w:i w:val="false"/>
                <w:color w:val="000000"/>
                <w:sz w:val="20"/>
              </w:rPr>
              <w:t>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құнды көрсету кезінде қолданылған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17. Валюта бағамын қолдану күні</w:t>
            </w:r>
          </w:p>
          <w:p>
            <w:pPr>
              <w:spacing w:after="20"/>
              <w:ind w:left="20"/>
              <w:jc w:val="both"/>
            </w:pPr>
            <w:r>
              <w:rPr>
                <w:rFonts w:ascii="Times New Roman"/>
                <w:b w:val="false"/>
                <w:i w:val="false"/>
                <w:color w:val="000000"/>
                <w:sz w:val="20"/>
              </w:rPr>
              <w:t>
(casdo: Exchange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 CVDMethod1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мәміленің құны бойынша кедендік құнды айқындау шарттары туралы жалпы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CVDMethod1 Details Type (M.CA.CDT.00307)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18.1. Ақы төлеу шоты</w:t>
            </w:r>
          </w:p>
          <w:p>
            <w:pPr>
              <w:spacing w:after="20"/>
              <w:ind w:left="20"/>
              <w:jc w:val="both"/>
            </w:pPr>
            <w:r>
              <w:rPr>
                <w:rFonts w:ascii="Times New Roman"/>
                <w:b w:val="false"/>
                <w:i w:val="false"/>
                <w:color w:val="000000"/>
                <w:sz w:val="20"/>
              </w:rPr>
              <w:t>
(cacdo: Payment Invoice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 төлеу шоты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18.2. Келісімшарт</w:t>
            </w:r>
          </w:p>
          <w:p>
            <w:pPr>
              <w:spacing w:after="20"/>
              <w:ind w:left="20"/>
              <w:jc w:val="both"/>
            </w:pPr>
            <w:r>
              <w:rPr>
                <w:rFonts w:ascii="Times New Roman"/>
                <w:b w:val="false"/>
                <w:i w:val="false"/>
                <w:color w:val="000000"/>
                <w:sz w:val="20"/>
              </w:rPr>
              <w:t>
(cacdo: Contract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18.3. Бұрын қабылданған шешімдері бар құжат</w:t>
            </w:r>
          </w:p>
          <w:p>
            <w:pPr>
              <w:spacing w:after="20"/>
              <w:ind w:left="20"/>
              <w:jc w:val="both"/>
            </w:pPr>
            <w:r>
              <w:rPr>
                <w:rFonts w:ascii="Times New Roman"/>
                <w:b w:val="false"/>
                <w:i w:val="false"/>
                <w:color w:val="000000"/>
                <w:sz w:val="20"/>
              </w:rPr>
              <w:t>
(cacdo: CVDDecision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бұрын қабылдаған шешімдері бар құжаты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18.4. Сатушы мен сатып алушының өзара байланысы</w:t>
            </w:r>
          </w:p>
          <w:p>
            <w:pPr>
              <w:spacing w:after="20"/>
              <w:ind w:left="20"/>
              <w:jc w:val="both"/>
            </w:pPr>
            <w:r>
              <w:rPr>
                <w:rFonts w:ascii="Times New Roman"/>
                <w:b w:val="false"/>
                <w:i w:val="false"/>
                <w:color w:val="000000"/>
                <w:sz w:val="20"/>
              </w:rPr>
              <w:t>
(cacdo: Buyer Seller Relation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 мен тексеру шамасының сәйкестігі туралы толық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Buyer Seller Relation Details Type (M.CA.CDT.00308)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18.4.1. Өзара байланыстың болу белгісі</w:t>
            </w:r>
          </w:p>
          <w:p>
            <w:pPr>
              <w:spacing w:after="20"/>
              <w:ind w:left="20"/>
              <w:jc w:val="both"/>
            </w:pPr>
            <w:r>
              <w:rPr>
                <w:rFonts w:ascii="Times New Roman"/>
                <w:b w:val="false"/>
                <w:i w:val="false"/>
                <w:color w:val="000000"/>
                <w:sz w:val="20"/>
              </w:rPr>
              <w:t>
(casdo: Relation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мен сатып алушы арасындағы өзара байланыстың болу себебі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18.4.2. Өзара байланыстың бағаға әсерінің белгісі</w:t>
            </w:r>
          </w:p>
          <w:p>
            <w:pPr>
              <w:spacing w:after="20"/>
              <w:ind w:left="20"/>
              <w:jc w:val="both"/>
            </w:pPr>
            <w:r>
              <w:rPr>
                <w:rFonts w:ascii="Times New Roman"/>
                <w:b w:val="false"/>
                <w:i w:val="false"/>
                <w:color w:val="000000"/>
                <w:sz w:val="20"/>
              </w:rPr>
              <w:t>
(casdo: Price Influence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алушының өзара байланысының тауарлардың бағасына әсерінің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18.4.3. Құнның тексеру шамасының құнына жақындық белгісі</w:t>
            </w:r>
          </w:p>
          <w:p>
            <w:pPr>
              <w:spacing w:after="20"/>
              <w:ind w:left="20"/>
              <w:jc w:val="both"/>
            </w:pPr>
            <w:r>
              <w:rPr>
                <w:rFonts w:ascii="Times New Roman"/>
                <w:b w:val="false"/>
                <w:i w:val="false"/>
                <w:color w:val="000000"/>
                <w:sz w:val="20"/>
              </w:rPr>
              <w:t>
(casdo: Approximate Value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құнының тексеру шамасының біріне жақындық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18.4.4. Мәміле мен тексеру шамасы сәйкестігінің анық-қанығы </w:t>
            </w:r>
          </w:p>
          <w:p>
            <w:pPr>
              <w:spacing w:after="20"/>
              <w:ind w:left="20"/>
              <w:jc w:val="both"/>
            </w:pPr>
            <w:r>
              <w:rPr>
                <w:rFonts w:ascii="Times New Roman"/>
                <w:b w:val="false"/>
                <w:i w:val="false"/>
                <w:color w:val="000000"/>
                <w:sz w:val="20"/>
              </w:rPr>
              <w:t>
(cacdo: Approximate Value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құны мен тексеру шамасының сәйкестігі туралы толық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Verification Value Details Type (M.CA.CDT.00309)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бойынша тауардың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 толтырылмаса, "Сипаттама (csdo:‌Description‌Text)" деректемесінде көрсетілген мәліметтер кедендік құн декларациясында көрсетілген барлық тауарға қатысты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w:t>
            </w:r>
          </w:p>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тексеру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18.5. Тауарларды пайдалану және оған билік ету құқығына шектеу</w:t>
            </w:r>
          </w:p>
          <w:p>
            <w:pPr>
              <w:spacing w:after="20"/>
              <w:ind w:left="20"/>
              <w:jc w:val="both"/>
            </w:pPr>
            <w:r>
              <w:rPr>
                <w:rFonts w:ascii="Times New Roman"/>
                <w:b w:val="false"/>
                <w:i w:val="false"/>
                <w:color w:val="000000"/>
                <w:sz w:val="20"/>
              </w:rPr>
              <w:t>
(cacdo: Goods Use Restriction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 және оған билік ету құқығына шектеу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Use Restriction Details Type (M.CA.CDT.00339)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18.5.1. Тауарларды пайдалануға шектеулердің болу белгісі</w:t>
            </w:r>
          </w:p>
          <w:p>
            <w:pPr>
              <w:spacing w:after="20"/>
              <w:ind w:left="20"/>
              <w:jc w:val="both"/>
            </w:pPr>
            <w:r>
              <w:rPr>
                <w:rFonts w:ascii="Times New Roman"/>
                <w:b w:val="false"/>
                <w:i w:val="false"/>
                <w:color w:val="000000"/>
                <w:sz w:val="20"/>
              </w:rPr>
              <w:t>
(casdo: Restriction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шектеулердің болу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18.5.2. Тауарларға қатысты шарттар мен міндеттемелердің болу белгісі</w:t>
            </w:r>
          </w:p>
          <w:p>
            <w:pPr>
              <w:spacing w:after="20"/>
              <w:ind w:left="20"/>
              <w:jc w:val="both"/>
            </w:pPr>
            <w:r>
              <w:rPr>
                <w:rFonts w:ascii="Times New Roman"/>
                <w:b w:val="false"/>
                <w:i w:val="false"/>
                <w:color w:val="000000"/>
                <w:sz w:val="20"/>
              </w:rPr>
              <w:t>
(casdo: Value Condition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сатылуы немесе бағасы байланысты болатын шарттардың немесе міндеттемелердің болу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18.5.3. Сипаттама</w:t>
            </w:r>
          </w:p>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түрінің, мазмұнының және құндық бағасының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18.6. Сатушыға аударымдар</w:t>
            </w:r>
          </w:p>
          <w:p>
            <w:pPr>
              <w:spacing w:after="20"/>
              <w:ind w:left="20"/>
              <w:jc w:val="both"/>
            </w:pPr>
            <w:r>
              <w:rPr>
                <w:rFonts w:ascii="Times New Roman"/>
                <w:b w:val="false"/>
                <w:i w:val="false"/>
                <w:color w:val="000000"/>
                <w:sz w:val="20"/>
              </w:rPr>
              <w:t>
(cacdo: Buyer Seller Fee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Buyer Seller Fee Details Type (M.CA.CDT.00338)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18.6.1. Лицензиялық төлемдердің болу белгісі</w:t>
            </w:r>
          </w:p>
          <w:p>
            <w:pPr>
              <w:spacing w:after="20"/>
              <w:ind w:left="20"/>
              <w:jc w:val="both"/>
            </w:pPr>
            <w:r>
              <w:rPr>
                <w:rFonts w:ascii="Times New Roman"/>
                <w:b w:val="false"/>
                <w:i w:val="false"/>
                <w:color w:val="000000"/>
                <w:sz w:val="20"/>
              </w:rPr>
              <w:t>
(casdo: Royalty Fee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 пайдаланғаны үшін лицензиялық және өзге де төлемдердің болу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0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18.6.2. Лицензиялық және осыған ұқсас өзге төлемдердің шарттары</w:t>
            </w:r>
          </w:p>
          <w:p>
            <w:pPr>
              <w:spacing w:after="20"/>
              <w:ind w:left="20"/>
              <w:jc w:val="both"/>
            </w:pPr>
            <w:r>
              <w:rPr>
                <w:rFonts w:ascii="Times New Roman"/>
                <w:b w:val="false"/>
                <w:i w:val="false"/>
                <w:color w:val="000000"/>
                <w:sz w:val="20"/>
              </w:rPr>
              <w:t>
(casdo: Royalty Fee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төлемдерге қатысты шарттардың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18.6.3. Сатушыға кейінгі сатудан түсетін табыстың бір бөлігінің беру белгісі</w:t>
            </w:r>
          </w:p>
          <w:p>
            <w:pPr>
              <w:spacing w:after="20"/>
              <w:ind w:left="20"/>
              <w:jc w:val="both"/>
            </w:pPr>
            <w:r>
              <w:rPr>
                <w:rFonts w:ascii="Times New Roman"/>
                <w:b w:val="false"/>
                <w:i w:val="false"/>
                <w:color w:val="000000"/>
                <w:sz w:val="20"/>
              </w:rPr>
              <w:t>
(casdo: Subsequent Resale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сатудан түсетін табыстың бір бөлігі немесе тауарларға билік ету тікелей немесе жанама түрде сатушыға тиесілі болатын шарттардың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ИЯ;</w:t>
            </w:r>
          </w:p>
          <w:p>
            <w:pPr>
              <w:spacing w:after="20"/>
              <w:ind w:left="20"/>
              <w:jc w:val="both"/>
            </w:pPr>
            <w:r>
              <w:rPr>
                <w:rFonts w:ascii="Times New Roman"/>
                <w:b w:val="false"/>
                <w:i w:val="false"/>
                <w:color w:val="000000"/>
                <w:sz w:val="20"/>
              </w:rPr>
              <w:t xml:space="preserve">
0 –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18.6.4. тауарларды кейіннен қайта сатудан немесе пайдаланудан түсетін табыстың бір бөлігін сатушыға беру шарты</w:t>
            </w:r>
          </w:p>
          <w:p>
            <w:pPr>
              <w:spacing w:after="20"/>
              <w:ind w:left="20"/>
              <w:jc w:val="both"/>
            </w:pPr>
            <w:r>
              <w:rPr>
                <w:rFonts w:ascii="Times New Roman"/>
                <w:b w:val="false"/>
                <w:i w:val="false"/>
                <w:color w:val="000000"/>
                <w:sz w:val="20"/>
              </w:rPr>
              <w:t>
(casdo: Subsequent Resale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қайта сатудан немесе пайдаланудан түсетін табыстың бір бөлігін сатушыға беру шарттарының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19. Әкелінетін тауарлармен жасалатын мәміленің құны жөніндегі әдістен ерекшеленетін әдістер бойынша кедендік құнды айқындау туралы мәліметтер</w:t>
            </w:r>
          </w:p>
          <w:p>
            <w:pPr>
              <w:spacing w:after="20"/>
              <w:ind w:left="20"/>
              <w:jc w:val="both"/>
            </w:pPr>
            <w:r>
              <w:rPr>
                <w:rFonts w:ascii="Times New Roman"/>
                <w:b w:val="false"/>
                <w:i w:val="false"/>
                <w:color w:val="000000"/>
                <w:sz w:val="20"/>
              </w:rPr>
              <w:t>
(cacdo: CVDOther Method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әдістен ерекшеленетін әдістер бойынша кедендік құнды айқындау кезінде көрсетілетін жалпы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CVDOther Method Details Type (M.CA.CDT.00337)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19.1. тауарды беру үшін негіз болып табылатын құжат</w:t>
            </w:r>
          </w:p>
          <w:p>
            <w:pPr>
              <w:spacing w:after="20"/>
              <w:ind w:left="20"/>
              <w:jc w:val="both"/>
            </w:pPr>
            <w:r>
              <w:rPr>
                <w:rFonts w:ascii="Times New Roman"/>
                <w:b w:val="false"/>
                <w:i w:val="false"/>
                <w:color w:val="000000"/>
                <w:sz w:val="20"/>
              </w:rPr>
              <w:t>
(cacdo: CVDGoods Document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беру үшін негіз болып табылатын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19.2. Бұрын қабылданған шешімдер бар құжат</w:t>
            </w:r>
          </w:p>
          <w:p>
            <w:pPr>
              <w:spacing w:after="20"/>
              <w:ind w:left="20"/>
              <w:jc w:val="both"/>
            </w:pPr>
            <w:r>
              <w:rPr>
                <w:rFonts w:ascii="Times New Roman"/>
                <w:b w:val="false"/>
                <w:i w:val="false"/>
                <w:color w:val="000000"/>
                <w:sz w:val="20"/>
              </w:rPr>
              <w:t>
(cacdo: CVDDecision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әкелінген тауарларға қатысты кеден немесе сот органдары қабылданған шешімдер бар құжаттар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19.3. Мәлімделген мәліметтерді растайтын құжат</w:t>
            </w:r>
          </w:p>
          <w:p>
            <w:pPr>
              <w:spacing w:after="20"/>
              <w:ind w:left="20"/>
              <w:jc w:val="both"/>
            </w:pPr>
            <w:r>
              <w:rPr>
                <w:rFonts w:ascii="Times New Roman"/>
                <w:b w:val="false"/>
                <w:i w:val="false"/>
                <w:color w:val="000000"/>
                <w:sz w:val="20"/>
              </w:rPr>
              <w:t>
(cacdo: Evidence Document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мәліметтерді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Details V4 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19.4. Кедендік құнды айқындау әдісін таңдау себебі</w:t>
            </w:r>
          </w:p>
          <w:p>
            <w:pPr>
              <w:spacing w:after="20"/>
              <w:ind w:left="20"/>
              <w:jc w:val="both"/>
            </w:pPr>
            <w:r>
              <w:rPr>
                <w:rFonts w:ascii="Times New Roman"/>
                <w:b w:val="false"/>
                <w:i w:val="false"/>
                <w:color w:val="000000"/>
                <w:sz w:val="20"/>
              </w:rPr>
              <w:t>
(casdo: Method Reason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таңдалған әдістің алдындағы кедендік құнды айқындау әдісін қолдану болмайтын себептердің негіздемесі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20. Тауар</w:t>
            </w:r>
          </w:p>
          <w:p>
            <w:pPr>
              <w:spacing w:after="20"/>
              <w:ind w:left="20"/>
              <w:jc w:val="both"/>
            </w:pPr>
            <w:r>
              <w:rPr>
                <w:rFonts w:ascii="Times New Roman"/>
                <w:b w:val="false"/>
                <w:i w:val="false"/>
                <w:color w:val="000000"/>
                <w:sz w:val="20"/>
              </w:rPr>
              <w:t>
(cacdo: CVDGoods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CVDGoods Item Details Type (M.CA.CDT.00340)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тауарларға арналған декларация бойынша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20.2. Тізімдегі реттік нөмірі</w:t>
            </w:r>
          </w:p>
          <w:p>
            <w:pPr>
              <w:spacing w:after="20"/>
              <w:ind w:left="20"/>
              <w:jc w:val="both"/>
            </w:pPr>
            <w:r>
              <w:rPr>
                <w:rFonts w:ascii="Times New Roman"/>
                <w:b w:val="false"/>
                <w:i w:val="false"/>
                <w:color w:val="000000"/>
                <w:sz w:val="20"/>
              </w:rPr>
              <w:t>
(casdo: List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құн декларациясы бойынша тауардың реттік нөмірі</w:t>
            </w:r>
          </w:p>
          <w:p>
            <w:pPr>
              <w:spacing w:after="20"/>
              <w:ind w:left="20"/>
              <w:jc w:val="both"/>
            </w:pPr>
            <w:r>
              <w:rPr>
                <w:rFonts w:ascii="Times New Roman"/>
                <w:b w:val="false"/>
                <w:i w:val="false"/>
                <w:color w:val="000000"/>
                <w:sz w:val="20"/>
              </w:rPr>
              <w:t>
(casdo: CDVConsignment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20.4. Тауардың парақтағы реттік нөмірі</w:t>
            </w:r>
          </w:p>
          <w:p>
            <w:pPr>
              <w:spacing w:after="20"/>
              <w:ind w:left="20"/>
              <w:jc w:val="both"/>
            </w:pPr>
            <w:r>
              <w:rPr>
                <w:rFonts w:ascii="Times New Roman"/>
                <w:b w:val="false"/>
                <w:i w:val="false"/>
                <w:color w:val="000000"/>
                <w:sz w:val="20"/>
              </w:rPr>
              <w:t>
(casdo: Page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Парақтың реттік нөмірі</w:t>
            </w:r>
          </w:p>
          <w:p>
            <w:pPr>
              <w:spacing w:after="20"/>
              <w:ind w:left="20"/>
              <w:jc w:val="both"/>
            </w:pPr>
            <w:r>
              <w:rPr>
                <w:rFonts w:ascii="Times New Roman"/>
                <w:b w:val="false"/>
                <w:i w:val="false"/>
                <w:color w:val="000000"/>
                <w:sz w:val="20"/>
              </w:rPr>
              <w:t>
(casdo: 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Ordinal3 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20.6. ЕАЭО СЭҚ ТН бойынша тауардың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 Commodity Add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Commodity Add Code 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20.8. Кедендік құнды айқындау әдісінің коды</w:t>
            </w:r>
          </w:p>
          <w:p>
            <w:pPr>
              <w:spacing w:after="20"/>
              <w:ind w:left="20"/>
              <w:jc w:val="both"/>
            </w:pPr>
            <w:r>
              <w:rPr>
                <w:rFonts w:ascii="Times New Roman"/>
                <w:b w:val="false"/>
                <w:i w:val="false"/>
                <w:color w:val="000000"/>
                <w:sz w:val="20"/>
              </w:rPr>
              <w:t>
(casdo: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құнын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20.9. Кедендік құнды айқындаудың базалық әдісінің коды</w:t>
            </w:r>
          </w:p>
          <w:p>
            <w:pPr>
              <w:spacing w:after="20"/>
              <w:ind w:left="20"/>
              <w:jc w:val="both"/>
            </w:pPr>
            <w:r>
              <w:rPr>
                <w:rFonts w:ascii="Times New Roman"/>
                <w:b w:val="false"/>
                <w:i w:val="false"/>
                <w:color w:val="000000"/>
                <w:sz w:val="20"/>
              </w:rPr>
              <w:t>
(casdo: Base Valuation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Valuation Method Code Type (M.CA.SDT.00185)</w:t>
            </w:r>
          </w:p>
          <w:p>
            <w:pPr>
              <w:spacing w:after="20"/>
              <w:ind w:left="20"/>
              <w:jc w:val="both"/>
            </w:pPr>
            <w:r>
              <w:rPr>
                <w:rFonts w:ascii="Times New Roman"/>
                <w:b w:val="false"/>
                <w:i w:val="false"/>
                <w:color w:val="000000"/>
                <w:sz w:val="20"/>
              </w:rPr>
              <w:t>
Кедендік құнын айқындау әдістерінің сыныптауышына сәйкес кодтың мәні.</w:t>
            </w:r>
          </w:p>
          <w:p>
            <w:pPr>
              <w:spacing w:after="20"/>
              <w:ind w:left="20"/>
              <w:jc w:val="both"/>
            </w:pPr>
            <w:r>
              <w:rPr>
                <w:rFonts w:ascii="Times New Roman"/>
                <w:b w:val="false"/>
                <w:i w:val="false"/>
                <w:color w:val="000000"/>
                <w:sz w:val="20"/>
              </w:rPr>
              <w:t>
Шаблон: \d{1}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20.10. Кедендік құн </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кедендік құнның тиісінше ұлттық валютадағы және АҚШ долларындағы мәнін қамтитын "Кедендік құн (casdo:‌Customs‌Value‌Amount)" 2 деректемесі қалыптасуға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20.11. Әкелінетін тауарлар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 CVDMethod1 Calculation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немесе оның негізіндегі резервтік әдіс бойынша кедендік құнды есептеу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CVDMethod1 Calculation Details Type (M.CA.CDT.00142)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20.11.1. Кедендік құны есептеу негізі</w:t>
            </w:r>
          </w:p>
          <w:p>
            <w:pPr>
              <w:spacing w:after="20"/>
              <w:ind w:left="20"/>
              <w:jc w:val="both"/>
            </w:pPr>
            <w:r>
              <w:rPr>
                <w:rFonts w:ascii="Times New Roman"/>
                <w:b w:val="false"/>
                <w:i w:val="false"/>
                <w:color w:val="000000"/>
                <w:sz w:val="20"/>
              </w:rPr>
              <w:t>
(cacdo: Method1 Basis Calculation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кедендік құнды есептеу негізі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Method1 Basis Calculation Details Type (M.CA.CDT.00146)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бағасы</w:t>
            </w:r>
          </w:p>
          <w:p>
            <w:pPr>
              <w:spacing w:after="20"/>
              <w:ind w:left="20"/>
              <w:jc w:val="both"/>
            </w:pPr>
            <w:r>
              <w:rPr>
                <w:rFonts w:ascii="Times New Roman"/>
                <w:b w:val="false"/>
                <w:i w:val="false"/>
                <w:color w:val="000000"/>
                <w:sz w:val="20"/>
              </w:rPr>
              <w:t>
(casdo: Invoice Price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шотында төленген немесе төлеуге жататын нақты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бағасы</w:t>
            </w:r>
          </w:p>
          <w:p>
            <w:pPr>
              <w:spacing w:after="20"/>
              <w:ind w:left="20"/>
              <w:jc w:val="both"/>
            </w:pPr>
            <w:r>
              <w:rPr>
                <w:rFonts w:ascii="Times New Roman"/>
                <w:b w:val="false"/>
                <w:i w:val="false"/>
                <w:color w:val="000000"/>
                <w:sz w:val="20"/>
              </w:rPr>
              <w:t>
(casdo: National Invoice Price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төленген немесе төлеуге жататын нақты баға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бағасы</w:t>
            </w:r>
          </w:p>
          <w:p>
            <w:pPr>
              <w:spacing w:after="20"/>
              <w:ind w:left="20"/>
              <w:jc w:val="both"/>
            </w:pPr>
            <w:r>
              <w:rPr>
                <w:rFonts w:ascii="Times New Roman"/>
                <w:b w:val="false"/>
                <w:i w:val="false"/>
                <w:color w:val="000000"/>
                <w:sz w:val="20"/>
              </w:rPr>
              <w:t>
(casdo: Price Currency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бағасын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бағамы </w:t>
            </w:r>
          </w:p>
          <w:p>
            <w:pPr>
              <w:spacing w:after="20"/>
              <w:ind w:left="20"/>
              <w:jc w:val="both"/>
            </w:pPr>
            <w:r>
              <w:rPr>
                <w:rFonts w:ascii="Times New Roman"/>
                <w:b w:val="false"/>
                <w:i w:val="false"/>
                <w:color w:val="000000"/>
                <w:sz w:val="20"/>
              </w:rPr>
              <w:t>
(casdo: Price Currency 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(casdo: Price Currency Rate)"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*.4. Жанама төлемдердің ұлттық валютадағы сомасы</w:t>
            </w:r>
          </w:p>
          <w:p>
            <w:pPr>
              <w:spacing w:after="20"/>
              <w:ind w:left="20"/>
              <w:jc w:val="both"/>
            </w:pPr>
            <w:r>
              <w:rPr>
                <w:rFonts w:ascii="Times New Roman"/>
                <w:b w:val="false"/>
                <w:i w:val="false"/>
                <w:color w:val="000000"/>
                <w:sz w:val="20"/>
              </w:rPr>
              <w:t>
(casdo: National Indirect Payment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төлемдердің ұлттық валютадағы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төлемдердің ұлттық валютадағы сомасы (casdo: National Indirect Payment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төлемдердің ұлттық валютадағы сомасы (casdo:‌National‌Indirect‌Payment‌Amount)"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 Indirect Payment Currency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 Indirect Payment Currency 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 Indirect Payment Currency Rate)"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20.11.2. Қосымша есепке жазу</w:t>
            </w:r>
          </w:p>
          <w:p>
            <w:pPr>
              <w:spacing w:after="20"/>
              <w:ind w:left="20"/>
              <w:jc w:val="both"/>
            </w:pPr>
            <w:r>
              <w:rPr>
                <w:rFonts w:ascii="Times New Roman"/>
                <w:b w:val="false"/>
                <w:i w:val="false"/>
                <w:color w:val="000000"/>
                <w:sz w:val="20"/>
              </w:rPr>
              <w:t>
(cacdo: Method1 Add Costs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есепке жазу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Method1 Add Sum Details Type (M.CA.CDT.00147)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*.1. Делдалға (агентке), брокерге сыйақы сомасы</w:t>
            </w:r>
          </w:p>
          <w:p>
            <w:pPr>
              <w:spacing w:after="20"/>
              <w:ind w:left="20"/>
              <w:jc w:val="both"/>
            </w:pPr>
            <w:r>
              <w:rPr>
                <w:rFonts w:ascii="Times New Roman"/>
                <w:b w:val="false"/>
                <w:i w:val="false"/>
                <w:color w:val="000000"/>
                <w:sz w:val="20"/>
              </w:rPr>
              <w:t>
(casdo: Brokerage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алғаны үшін сыйақыларды қоспағанда, делдалға (агентке), брокерге сыйақы төлейтін сатып алушының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"Делдалға (агентке), брокерге сыйақы сомасы (casdo: Brokerage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"Делдалға (агентке), брокерге сыйақы сомасы (casdo: Brokerage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орам құны</w:t>
            </w:r>
          </w:p>
          <w:p>
            <w:pPr>
              <w:spacing w:after="20"/>
              <w:ind w:left="20"/>
              <w:jc w:val="both"/>
            </w:pPr>
            <w:r>
              <w:rPr>
                <w:rFonts w:ascii="Times New Roman"/>
                <w:b w:val="false"/>
                <w:i w:val="false"/>
                <w:color w:val="000000"/>
                <w:sz w:val="20"/>
              </w:rPr>
              <w:t>
(casdo: Package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ыдысқа және қаптамаға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орам құн (casdo: Package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орам құн (casdo: Package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*.3. Шикізаттың, материалдардың, бөлшектердің жартылай фабрикаттардың құны </w:t>
            </w:r>
          </w:p>
          <w:p>
            <w:pPr>
              <w:spacing w:after="20"/>
              <w:ind w:left="20"/>
              <w:jc w:val="both"/>
            </w:pPr>
            <w:r>
              <w:rPr>
                <w:rFonts w:ascii="Times New Roman"/>
                <w:b w:val="false"/>
                <w:i w:val="false"/>
                <w:color w:val="000000"/>
                <w:sz w:val="20"/>
              </w:rPr>
              <w:t>
(casdo: Resource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және әкелінетін тауарлар тұратын осыған ұқсас заттардың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 Resource Value Amount)"деректемесі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 Resource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*.4. Құралдар мен керек-жарақтардың құны</w:t>
            </w:r>
          </w:p>
          <w:p>
            <w:pPr>
              <w:spacing w:after="20"/>
              <w:ind w:left="20"/>
              <w:jc w:val="both"/>
            </w:pPr>
            <w:r>
              <w:rPr>
                <w:rFonts w:ascii="Times New Roman"/>
                <w:b w:val="false"/>
                <w:i w:val="false"/>
                <w:color w:val="000000"/>
                <w:sz w:val="20"/>
              </w:rPr>
              <w:t>
(casdo: Tools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тауарларды өндіру кезінде пайдаланылған құралдардың, мөртабандардың, пішіндердің және басқа да ұқсас заттардың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 Tools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 Tools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 Materials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 Materials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 Materials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*.6. Жобалаудың, әзірлеудің, инженерлік, конструкторлық жұмыстың,көркемдік безендірудің, дизайнның, эскиздердің және сызбалардың құны </w:t>
            </w:r>
          </w:p>
          <w:p>
            <w:pPr>
              <w:spacing w:after="20"/>
              <w:ind w:left="20"/>
              <w:jc w:val="both"/>
            </w:pPr>
            <w:r>
              <w:rPr>
                <w:rFonts w:ascii="Times New Roman"/>
                <w:b w:val="false"/>
                <w:i w:val="false"/>
                <w:color w:val="000000"/>
                <w:sz w:val="20"/>
              </w:rPr>
              <w:t>
(casdo: Design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жұмыстың,көркемдік безендірудің, дизайнның, эскиздердің және сызбалардың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жұмыстың,көркемдік безендірудің, дизайнның, эскиздердің және сызбалардың құны(casdo: Design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жұмыстың,көркемдік безендірудің, дизайнның, эскиздердің және сызбалардың құны (casdo: Design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осыған ұқсас өзге төлемдер</w:t>
            </w:r>
          </w:p>
          <w:p>
            <w:pPr>
              <w:spacing w:after="20"/>
              <w:ind w:left="20"/>
              <w:jc w:val="both"/>
            </w:pPr>
            <w:r>
              <w:rPr>
                <w:rFonts w:ascii="Times New Roman"/>
                <w:b w:val="false"/>
                <w:i w:val="false"/>
                <w:color w:val="000000"/>
                <w:sz w:val="20"/>
              </w:rPr>
              <w:t>
(casdo: Royalty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 пайдаланғаны үшін лицензиялық және өзге де төлемдер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және осыған ұқсас өзге төлемдер (casdo: Royalty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және осыған ұқсас өзге төлемдер (casdo: Royalty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*.8. Тауарларды кейіннен сатудан түскен табыстың (пайданың) бір бөлігі </w:t>
            </w:r>
          </w:p>
          <w:p>
            <w:pPr>
              <w:spacing w:after="20"/>
              <w:ind w:left="20"/>
              <w:jc w:val="both"/>
            </w:pPr>
            <w:r>
              <w:rPr>
                <w:rFonts w:ascii="Times New Roman"/>
                <w:b w:val="false"/>
                <w:i w:val="false"/>
                <w:color w:val="000000"/>
                <w:sz w:val="20"/>
              </w:rPr>
              <w:t>
(casdo: Subsequent Resale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сатудың нәтижесінде алынған табыстың (кірістің) бір бөлігі, сатушыға тікелей немесе жанама тиесілі тауарларға өзге тәсілмен билік ету немесе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табыстың (пайданың) бір бөлігі (casdo: Subsequent Resale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табыстың (пайданың) бір бөлігі (casdo: Subsequent Resale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Еуразиялық экономикалық одақтың кедендік аумағына келетін жері немесе тауарлардың Еуразиялық экономикалық одақтың кедендік аумағындағы межелі жері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*.10. Тауарларды тасу (тасымалдау) жөніндегі шығыстардың сомасы </w:t>
            </w:r>
          </w:p>
          <w:p>
            <w:pPr>
              <w:spacing w:after="20"/>
              <w:ind w:left="20"/>
              <w:jc w:val="both"/>
            </w:pPr>
            <w:r>
              <w:rPr>
                <w:rFonts w:ascii="Times New Roman"/>
                <w:b w:val="false"/>
                <w:i w:val="false"/>
                <w:color w:val="000000"/>
                <w:sz w:val="20"/>
              </w:rPr>
              <w:t>
(casdo: Transport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аумағындағы келетін жеріне дейін немесе Еуразиялық экономикалық одақтың кедендік аумағындағы межелі жеріне дейін тасу (тасымалдау) жөніндегі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(casdo: Transport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(casdo: Transport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*.11. Тауарларды тиеу, түсіру немесе қайта тиеу жөніндегі шығыстардың сомасы </w:t>
            </w:r>
          </w:p>
          <w:p>
            <w:pPr>
              <w:spacing w:after="20"/>
              <w:ind w:left="20"/>
              <w:jc w:val="both"/>
            </w:pPr>
            <w:r>
              <w:rPr>
                <w:rFonts w:ascii="Times New Roman"/>
                <w:b w:val="false"/>
                <w:i w:val="false"/>
                <w:color w:val="000000"/>
                <w:sz w:val="20"/>
              </w:rPr>
              <w:t>
(casdo: Loading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Еуразиялық экономикалық одақтың кедендік аумағындағы келетін жеріне дейін жүргізілетін тауарларды тиеу, түсіру немесе қайта тиеу жөніндегі және оларды тасумен (тасымалдаумен) байланысты байланысты өзге де операцияларды жүргізу жөніндегі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 немесе қайта тиеу жөніндегі шығыстардың сомасы (casdo: Loading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 немесе қайта тиеу жөніндегі шығыстардың сомасы (casdo:‌Loading‌Value‌Amount)"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 шығыстарының сомасы</w:t>
            </w:r>
          </w:p>
          <w:p>
            <w:pPr>
              <w:spacing w:after="20"/>
              <w:ind w:left="20"/>
              <w:jc w:val="both"/>
            </w:pPr>
            <w:r>
              <w:rPr>
                <w:rFonts w:ascii="Times New Roman"/>
                <w:b w:val="false"/>
                <w:i w:val="false"/>
                <w:color w:val="000000"/>
                <w:sz w:val="20"/>
              </w:rPr>
              <w:t>
(casdo: Insurance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сомасы (casdo: Insurance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"Сақтандыру шығыстарының сомасы (casdo: Insurance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қосымша есептеудің қорытынды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 Total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 Total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20.11.3. Шегерімдер</w:t>
            </w:r>
          </w:p>
          <w:p>
            <w:pPr>
              <w:spacing w:after="20"/>
              <w:ind w:left="20"/>
              <w:jc w:val="both"/>
            </w:pPr>
            <w:r>
              <w:rPr>
                <w:rFonts w:ascii="Times New Roman"/>
                <w:b w:val="false"/>
                <w:i w:val="false"/>
                <w:color w:val="000000"/>
                <w:sz w:val="20"/>
              </w:rPr>
              <w:t>
(cacdo: Method1 Deduction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Method1 Deduction Details Type (M.CA.CDT.00148)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салуға, құрастыруға, монтаждауға арналған шығыстар сомасы</w:t>
            </w:r>
          </w:p>
          <w:p>
            <w:pPr>
              <w:spacing w:after="20"/>
              <w:ind w:left="20"/>
              <w:jc w:val="both"/>
            </w:pPr>
            <w:r>
              <w:rPr>
                <w:rFonts w:ascii="Times New Roman"/>
                <w:b w:val="false"/>
                <w:i w:val="false"/>
                <w:color w:val="000000"/>
                <w:sz w:val="20"/>
              </w:rPr>
              <w:t>
(casdo: Assembly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Еуразиялық экономикалық одақтың кедендік аумағына келгеннен кейін жүргізілетін құрылысқа, салуға, құрастыруға, монтаждауға, қызмет көрсетуге немесе техникалық жәрдем көрсетуге арналған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салуға, құрастыруға, монтаждауға арналған шығыстар сомасы (casdo: Assembly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салуға, құрастыруға, монтаждауға арналған шығыстар сомасы (casdo: Assembly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*.2. Тауарларды тасу (тасымалдау) жөніндегі шығыстар сомасы </w:t>
            </w:r>
          </w:p>
          <w:p>
            <w:pPr>
              <w:spacing w:after="20"/>
              <w:ind w:left="20"/>
              <w:jc w:val="both"/>
            </w:pPr>
            <w:r>
              <w:rPr>
                <w:rFonts w:ascii="Times New Roman"/>
                <w:b w:val="false"/>
                <w:i w:val="false"/>
                <w:color w:val="000000"/>
                <w:sz w:val="20"/>
              </w:rPr>
              <w:t>
(casdo: Transport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аумағындағы келген жерінен межелі жеріне дейін тасу (тасымалдау) жөніндегі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(casdo:‌Transport‌Value‌Amount)"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 Transport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 мен алымдардың сомасы</w:t>
            </w:r>
          </w:p>
          <w:p>
            <w:pPr>
              <w:spacing w:after="20"/>
              <w:ind w:left="20"/>
              <w:jc w:val="both"/>
            </w:pPr>
            <w:r>
              <w:rPr>
                <w:rFonts w:ascii="Times New Roman"/>
                <w:b w:val="false"/>
                <w:i w:val="false"/>
                <w:color w:val="000000"/>
                <w:sz w:val="20"/>
              </w:rPr>
              <w:t>
(casdo: Union Tax Payment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төленетін баждардың, салықтар мен алымдардың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 мен алымдардың сомасы (casdo: Union Tax Payment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 мен алымдардың сомасы (casdo: Union Tax Payment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шегерімдердің ұлттық валютадағы қорытынды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w:t>
            </w:r>
          </w:p>
          <w:p>
            <w:pPr>
              <w:spacing w:after="20"/>
              <w:ind w:left="20"/>
              <w:jc w:val="both"/>
            </w:pPr>
            <w:r>
              <w:rPr>
                <w:rFonts w:ascii="Times New Roman"/>
                <w:b w:val="false"/>
                <w:i w:val="false"/>
                <w:color w:val="000000"/>
                <w:sz w:val="20"/>
              </w:rPr>
              <w:t>
(cacdo: CVDMethod236 Calculation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CVDMethod236 Calculation Details Type (M.CA.CDT.00341)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20.12.1. Ұқсас тауарлармен жасалатын мәміленің құны </w:t>
            </w:r>
          </w:p>
          <w:p>
            <w:pPr>
              <w:spacing w:after="20"/>
              <w:ind w:left="20"/>
              <w:jc w:val="both"/>
            </w:pPr>
            <w:r>
              <w:rPr>
                <w:rFonts w:ascii="Times New Roman"/>
                <w:b w:val="false"/>
                <w:i w:val="false"/>
                <w:color w:val="000000"/>
                <w:sz w:val="20"/>
              </w:rPr>
              <w:t>
(casdo: Identical Goods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20.12.2. Мәміле құнын азайту жағына қарау түзету </w:t>
            </w:r>
          </w:p>
          <w:p>
            <w:pPr>
              <w:spacing w:after="20"/>
              <w:ind w:left="20"/>
              <w:jc w:val="both"/>
            </w:pPr>
            <w:r>
              <w:rPr>
                <w:rFonts w:ascii="Times New Roman"/>
                <w:b w:val="false"/>
                <w:i w:val="false"/>
                <w:color w:val="000000"/>
                <w:sz w:val="20"/>
              </w:rPr>
              <w:t>
(cacdo: Deduction Adjustments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 азайту жағына қарау түзету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Relevant Goods Correction Details Type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*.1. Тауарлар санына түзету </w:t>
            </w:r>
          </w:p>
          <w:p>
            <w:pPr>
              <w:spacing w:after="20"/>
              <w:ind w:left="20"/>
              <w:jc w:val="both"/>
            </w:pPr>
            <w:r>
              <w:rPr>
                <w:rFonts w:ascii="Times New Roman"/>
                <w:b w:val="false"/>
                <w:i w:val="false"/>
                <w:color w:val="000000"/>
                <w:sz w:val="20"/>
              </w:rPr>
              <w:t>
(casdo: Quantity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(casdo: Quantity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(casdo: Quantity Adjustment Amount)"деректемесі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*.2. Коммерциялық деңгейге түзету </w:t>
            </w:r>
          </w:p>
          <w:p>
            <w:pPr>
              <w:spacing w:after="20"/>
              <w:ind w:left="20"/>
              <w:jc w:val="both"/>
            </w:pPr>
            <w:r>
              <w:rPr>
                <w:rFonts w:ascii="Times New Roman"/>
                <w:b w:val="false"/>
                <w:i w:val="false"/>
                <w:color w:val="000000"/>
                <w:sz w:val="20"/>
              </w:rPr>
              <w:t>
(casdo: Commercial Level 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(casdo: Commercial Level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(casdo: Commercial Level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одақтың кедендік аумағына келетін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*.4. Тасу жөніндегі шығыстардың айырмасына түзету </w:t>
            </w:r>
          </w:p>
          <w:p>
            <w:pPr>
              <w:spacing w:after="20"/>
              <w:ind w:left="20"/>
              <w:jc w:val="both"/>
            </w:pPr>
            <w:r>
              <w:rPr>
                <w:rFonts w:ascii="Times New Roman"/>
                <w:b w:val="false"/>
                <w:i w:val="false"/>
                <w:color w:val="000000"/>
                <w:sz w:val="20"/>
              </w:rPr>
              <w:t>
(casdo: Transport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жөніндегі шығыстардың айырмасына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жөніндегі шығыстардың айырмасына түзету (casdo: Transport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жөніндегі шығыстардың айырмасына түзету (casdo: Transport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 түсіру немесе қайта тиеу және өзге операциялар жүргізу жөніндегі шығыстардың айырмасына түзету</w:t>
            </w:r>
          </w:p>
          <w:p>
            <w:pPr>
              <w:spacing w:after="20"/>
              <w:ind w:left="20"/>
              <w:jc w:val="both"/>
            </w:pPr>
            <w:r>
              <w:rPr>
                <w:rFonts w:ascii="Times New Roman"/>
                <w:b w:val="false"/>
                <w:i w:val="false"/>
                <w:color w:val="000000"/>
                <w:sz w:val="20"/>
              </w:rPr>
              <w:t>
(casdo: Loading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Еуразиялық экономикалық одақтың кедендік аумағындағы келетін жеріне дейін тиеу, түсіру немесе қайта тиеу жөніндегі және оларды тасумен (тасымалдаумен) байланысты өзге де операцияларды жүргізу жөніндегі шығыстардың айырмасына түзету шамасы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 немесе қайта тиеу және өзге операциялар жүргізу жөніндегі шығыстардың айырмасына түзету (casdo: Loading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 немесе қайта тиеу және өзге операциялар жүргізу жөніндегі шығыстардың айырмасына түзету (casdo: Loading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*.6. Сақтандыру шығыстарының айырмасына түзету </w:t>
            </w:r>
          </w:p>
          <w:p>
            <w:pPr>
              <w:spacing w:after="20"/>
              <w:ind w:left="20"/>
              <w:jc w:val="both"/>
            </w:pPr>
            <w:r>
              <w:rPr>
                <w:rFonts w:ascii="Times New Roman"/>
                <w:b w:val="false"/>
                <w:i w:val="false"/>
                <w:color w:val="000000"/>
                <w:sz w:val="20"/>
              </w:rPr>
              <w:t>
(casdo: Insurance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(casdo: Insurance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(casdo: Insurance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ұлттық валютадағы қорытынды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20.12.3. Мәміле құнын ұлғайту жағына қарай түзету</w:t>
            </w:r>
          </w:p>
          <w:p>
            <w:pPr>
              <w:spacing w:after="20"/>
              <w:ind w:left="20"/>
              <w:jc w:val="both"/>
            </w:pPr>
            <w:r>
              <w:rPr>
                <w:rFonts w:ascii="Times New Roman"/>
                <w:b w:val="false"/>
                <w:i w:val="false"/>
                <w:color w:val="000000"/>
                <w:sz w:val="20"/>
              </w:rPr>
              <w:t>
(cacdo: Additions Adjustments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 ұлғайту жағына қарай түзету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Relevant Goods Correction Details Type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санына түзету</w:t>
            </w:r>
          </w:p>
          <w:p>
            <w:pPr>
              <w:spacing w:after="20"/>
              <w:ind w:left="20"/>
              <w:jc w:val="both"/>
            </w:pPr>
            <w:r>
              <w:rPr>
                <w:rFonts w:ascii="Times New Roman"/>
                <w:b w:val="false"/>
                <w:i w:val="false"/>
                <w:color w:val="000000"/>
                <w:sz w:val="20"/>
              </w:rPr>
              <w:t>
(casdo: Quantity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(casdo: Quantity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 (casdo: Quantity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w:t>
            </w:r>
          </w:p>
          <w:p>
            <w:pPr>
              <w:spacing w:after="20"/>
              <w:ind w:left="20"/>
              <w:jc w:val="both"/>
            </w:pPr>
            <w:r>
              <w:rPr>
                <w:rFonts w:ascii="Times New Roman"/>
                <w:b w:val="false"/>
                <w:i w:val="false"/>
                <w:color w:val="000000"/>
                <w:sz w:val="20"/>
              </w:rPr>
              <w:t>
(casdo: Commercial Level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(casdo: Commercial Level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(casdo: Commercial Level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одақтың кедендік аумағына келетін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жөніндегі шығыстардың айырмасына түзету</w:t>
            </w:r>
          </w:p>
          <w:p>
            <w:pPr>
              <w:spacing w:after="20"/>
              <w:ind w:left="20"/>
              <w:jc w:val="both"/>
            </w:pPr>
            <w:r>
              <w:rPr>
                <w:rFonts w:ascii="Times New Roman"/>
                <w:b w:val="false"/>
                <w:i w:val="false"/>
                <w:color w:val="000000"/>
                <w:sz w:val="20"/>
              </w:rPr>
              <w:t>
(casdo: Transport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 (тасымалдау) жөніндегі шығыстардың айырмасына түзету шамасы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жөніндегі шығыстардың айырмасына түзету (casdo: Transport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жөніндегі шығыстардың айырмасына түзету (casdo: Transport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 түсіру немесе қайта тиеу және өзге операциялар жүргізу жөніндегі шығыстардың айырмасына түзету</w:t>
            </w:r>
          </w:p>
          <w:p>
            <w:pPr>
              <w:spacing w:after="20"/>
              <w:ind w:left="20"/>
              <w:jc w:val="both"/>
            </w:pPr>
            <w:r>
              <w:rPr>
                <w:rFonts w:ascii="Times New Roman"/>
                <w:b w:val="false"/>
                <w:i w:val="false"/>
                <w:color w:val="000000"/>
                <w:sz w:val="20"/>
              </w:rPr>
              <w:t>
(casdo: Loading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Еуразиялық экономикалық одақтың кедендік аумағындағы келетін жеріне дейін тиеу, түсіру немесе қайта тиеу жөніндегі және оларды тасумен (тасымалдаумен) байланысты өзге де операцияларды жүргізу жөніндегі шығыстардың айырмасына түзету шамасы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 немесе қайта тиеу және өзге операциялар жүргізу жөніндегі шығыстардың айырмасына түзету (casdo: Loading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 немесе қайта тиеу және өзге операциялар жүргізу жөніндегі шығыстардың айырмасына түзету (casdo: Loading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шығыстарының айырмасына түзету</w:t>
            </w:r>
          </w:p>
          <w:p>
            <w:pPr>
              <w:spacing w:after="20"/>
              <w:ind w:left="20"/>
              <w:jc w:val="both"/>
            </w:pPr>
            <w:r>
              <w:rPr>
                <w:rFonts w:ascii="Times New Roman"/>
                <w:b w:val="false"/>
                <w:i w:val="false"/>
                <w:color w:val="000000"/>
                <w:sz w:val="20"/>
              </w:rPr>
              <w:t>
(casdo: Insurance Adjustment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(casdo: Insurance Adjustment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айырмасына түзету (casdo: Insurance Adjustment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ұлттық валютадағы қорытынды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ескеріліп, мәміленің ұлттық валютадағы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Одақтың НАА тізілімі бойынша анықтамалықтың (сыныптауыштың) сәйкестендіргіші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20.12.5. Ұқсас (біртекті) тауарлардың саны</w:t>
            </w:r>
          </w:p>
          <w:p>
            <w:pPr>
              <w:spacing w:after="20"/>
              <w:ind w:left="20"/>
              <w:jc w:val="both"/>
            </w:pPr>
            <w:r>
              <w:rPr>
                <w:rFonts w:ascii="Times New Roman"/>
                <w:b w:val="false"/>
                <w:i w:val="false"/>
                <w:color w:val="000000"/>
                <w:sz w:val="20"/>
              </w:rPr>
              <w:t>
(cacdo: Relevant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(біртекті)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xml:space="preserve">
Шаблон: [0-9A-Z]{2,3}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20.12.6. Тауардың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тауарлардың бағаланатын (декларацияланатын) 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w:t>
            </w:r>
          </w:p>
          <w:p>
            <w:pPr>
              <w:spacing w:after="20"/>
              <w:ind w:left="20"/>
              <w:jc w:val="both"/>
            </w:pPr>
            <w:r>
              <w:rPr>
                <w:rFonts w:ascii="Times New Roman"/>
                <w:b w:val="false"/>
                <w:i w:val="false"/>
                <w:color w:val="000000"/>
                <w:sz w:val="20"/>
              </w:rPr>
              <w:t xml:space="preserve">
(measurementUnitCodeListId атрибуты)" атрибутында сәйкестендіргіші көрсетілген </w:t>
            </w:r>
          </w:p>
          <w:p>
            <w:pPr>
              <w:spacing w:after="20"/>
              <w:ind w:left="20"/>
              <w:jc w:val="both"/>
            </w:pPr>
            <w:r>
              <w:rPr>
                <w:rFonts w:ascii="Times New Roman"/>
                <w:b w:val="false"/>
                <w:i w:val="false"/>
                <w:color w:val="000000"/>
                <w:sz w:val="20"/>
              </w:rPr>
              <w:t>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 CVDMethod46 Calculation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 бойынша немесе оның негізінде резервтік 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CVDMethod46 Calculation Details Type (M.CA.CDT.00343)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20.13.1. Тауар бірлігінің бағасы</w:t>
            </w:r>
          </w:p>
          <w:p>
            <w:pPr>
              <w:spacing w:after="20"/>
              <w:ind w:left="20"/>
              <w:jc w:val="both"/>
            </w:pPr>
            <w:r>
              <w:rPr>
                <w:rFonts w:ascii="Times New Roman"/>
                <w:b w:val="false"/>
                <w:i w:val="false"/>
                <w:color w:val="000000"/>
                <w:sz w:val="20"/>
              </w:rPr>
              <w:t>
(casdo: Goods Unit Price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20.13.2. Өлшем бірлігі </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белгіленген тауар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20.13.3. Сыйақылардың немесе бағаға үстемеақылардың сомасы</w:t>
            </w:r>
          </w:p>
          <w:p>
            <w:pPr>
              <w:spacing w:after="20"/>
              <w:ind w:left="20"/>
              <w:jc w:val="both"/>
            </w:pPr>
            <w:r>
              <w:rPr>
                <w:rFonts w:ascii="Times New Roman"/>
                <w:b w:val="false"/>
                <w:i w:val="false"/>
                <w:color w:val="000000"/>
                <w:sz w:val="20"/>
              </w:rPr>
              <w:t>
(casdo: Profit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 және коммерциялық және басқару шығыстарын жабу үшін жүргізілетін, делдалға (агентке) төленетін сыйақылар, бағаға үстемеақылар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"Сыйақылардың немесе бағаға үстемеақылардың сомасы (casdo: Profit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"Сыйақылардың немесе бағаға үстемеақылардың сомасы (casdo: Profit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20.13.4. Тауарларды тасу (тасымалдау) жөніндегі шығыстар сомасы</w:t>
            </w:r>
          </w:p>
          <w:p>
            <w:pPr>
              <w:spacing w:after="20"/>
              <w:ind w:left="20"/>
              <w:jc w:val="both"/>
            </w:pPr>
            <w:r>
              <w:rPr>
                <w:rFonts w:ascii="Times New Roman"/>
                <w:b w:val="false"/>
                <w:i w:val="false"/>
                <w:color w:val="000000"/>
                <w:sz w:val="20"/>
              </w:rPr>
              <w:t>
(casdo: Transport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жүзеге асырылған, тасу (тасымалдауға) мен сақтандыруға және осындай операциялармен байланысты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 Transport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 Transport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20.13.5. Баждардың, салықтар мен алымдардың сомасы</w:t>
            </w:r>
          </w:p>
          <w:p>
            <w:pPr>
              <w:spacing w:after="20"/>
              <w:ind w:left="20"/>
              <w:jc w:val="both"/>
            </w:pPr>
            <w:r>
              <w:rPr>
                <w:rFonts w:ascii="Times New Roman"/>
                <w:b w:val="false"/>
                <w:i w:val="false"/>
                <w:color w:val="000000"/>
                <w:sz w:val="20"/>
              </w:rPr>
              <w:t>
(casdo: Union Tax Payment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 мен алымдардың, сондай-ақ тауарларды Еуразиялық экономикалық одақтың кедендік аумағына әкелуге немесе оларды осы аумақта сатуға байланысты төлеуге жататын өзге де салықтар мен алымдар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 мен алымдардың сомасы (casdo: Union Tax Payment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 мен алымдардың сомасы (casdo: Union Tax Payment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20.13.6. Тауарларды қайта өңдеу (өңдеу) нәтижесінде қосылған құн </w:t>
            </w:r>
          </w:p>
          <w:p>
            <w:pPr>
              <w:spacing w:after="20"/>
              <w:ind w:left="20"/>
              <w:jc w:val="both"/>
            </w:pPr>
            <w:r>
              <w:rPr>
                <w:rFonts w:ascii="Times New Roman"/>
                <w:b w:val="false"/>
                <w:i w:val="false"/>
                <w:color w:val="000000"/>
                <w:sz w:val="20"/>
              </w:rPr>
              <w:t>
(casdo: Processing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 тауарларды қайта өңдеу (өңдеу) нәтижесінде қосылған құн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 Processing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 Processing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20.13.7. Қорытынды (жалпы) сома</w:t>
            </w:r>
          </w:p>
          <w:p>
            <w:pPr>
              <w:spacing w:after="20"/>
              <w:ind w:left="20"/>
              <w:jc w:val="both"/>
            </w:pPr>
            <w:r>
              <w:rPr>
                <w:rFonts w:ascii="Times New Roman"/>
                <w:b w:val="false"/>
                <w:i w:val="false"/>
                <w:color w:val="000000"/>
                <w:sz w:val="20"/>
              </w:rPr>
              <w:t>
(casdo: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шегерімдердің ұлттық валютадағы қорытынды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Measure Details 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Physical Measure 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(атрибут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 ListId атрибуты)"</w:t>
            </w:r>
          </w:p>
          <w:p>
            <w:pPr>
              <w:spacing w:after="20"/>
              <w:ind w:left="20"/>
              <w:jc w:val="both"/>
            </w:pPr>
            <w:r>
              <w:rPr>
                <w:rFonts w:ascii="Times New Roman"/>
                <w:b w:val="false"/>
                <w:i w:val="false"/>
                <w:color w:val="000000"/>
                <w:sz w:val="20"/>
              </w:rPr>
              <w:t>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Measure Unit Abbreviation Code 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 Goods 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 CVDMethod56 Calculation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әдісі немесе оның негізінде резервтік 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CVDMethod56 Calculation Details Type (M.CA.CDT.00344)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20.14.1. Материалдарды дайындау (сатып алу) жөніндегі шығыстар және тауарларды өндіруге шығыстар</w:t>
            </w:r>
          </w:p>
          <w:p>
            <w:pPr>
              <w:spacing w:after="20"/>
              <w:ind w:left="20"/>
              <w:jc w:val="both"/>
            </w:pPr>
            <w:r>
              <w:rPr>
                <w:rFonts w:ascii="Times New Roman"/>
                <w:b w:val="false"/>
                <w:i w:val="false"/>
                <w:color w:val="000000"/>
                <w:sz w:val="20"/>
              </w:rPr>
              <w:t>
(casdo: Production Cost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тауарларды өндірушінің (сатушының) материалдарды дайындау (сатып алу) жөніндегі шығыстарының және өндіру шығыстарының жалпы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дайындау (сатып алу) жөніндегі шығыстар және тауарларды өндіруге шығыстар (casdo: Production Cost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дайындау (сатып алу) жөніндегі шығыстар және тауарларды өндіруге шығыстар (casdo: Production Cost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20.14.2. Ыдыс пен орам құны</w:t>
            </w:r>
          </w:p>
          <w:p>
            <w:pPr>
              <w:spacing w:after="20"/>
              <w:ind w:left="20"/>
              <w:jc w:val="both"/>
            </w:pPr>
            <w:r>
              <w:rPr>
                <w:rFonts w:ascii="Times New Roman"/>
                <w:b w:val="false"/>
                <w:i w:val="false"/>
                <w:color w:val="000000"/>
                <w:sz w:val="20"/>
              </w:rPr>
              <w:t>
(casdo: Package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және қаптамаға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орам құны (casdo: Package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орам құны (casdo: Package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20.14.3. Еуразиялық экономикалық одақтың кедендік аумағында жүргізілген (орындалған) жобалау, әзірлеу, инженерлік, конструкторлық жұмыс, дизайн, көркемдік безендіру, эскиздер және сызбалар шығыстары </w:t>
            </w:r>
          </w:p>
          <w:p>
            <w:pPr>
              <w:spacing w:after="20"/>
              <w:ind w:left="20"/>
              <w:jc w:val="both"/>
            </w:pPr>
            <w:r>
              <w:rPr>
                <w:rFonts w:ascii="Times New Roman"/>
                <w:b w:val="false"/>
                <w:i w:val="false"/>
                <w:color w:val="000000"/>
                <w:sz w:val="20"/>
              </w:rPr>
              <w:t>
(casdo: Design Union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жүргізілген (орындалған) жобалау, әзірлеу, инженерлік, конструкторлық жұмыс, дизайн, көркемдік безендіру, эскиздер және сызбалар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(орындалған) жобалау, әзірлеу, инженерлік, конструкторлық жұмыс, дизайн, көркемдік безендіру, эскиздер және сызбалар шығыстары (casdo: Design Union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(орындалған) жобалау, әзірлеу, инженерлік, конструкторлық жұмыс, дизайн, көркемдік безендіру, нобайлар және сызбалар эскиздер (casdo: Design Union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20.14.4. Тауарлар өндірумен байланысты шығыстар</w:t>
            </w:r>
          </w:p>
          <w:p>
            <w:pPr>
              <w:spacing w:after="20"/>
              <w:ind w:left="20"/>
              <w:jc w:val="both"/>
            </w:pPr>
            <w:r>
              <w:rPr>
                <w:rFonts w:ascii="Times New Roman"/>
                <w:b w:val="false"/>
                <w:i w:val="false"/>
                <w:color w:val="000000"/>
                <w:sz w:val="20"/>
              </w:rPr>
              <w:t>
(casdo: Add Production Cost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көрсетілетін қызметтерді өндіруге байланысты шығыстар, оның ішінде бағаланатын тауарларды сатып алушы (алушы) оларды өндірушіге тікелей және жанама ұсынған олардың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өндірумен байланысты шығыстар (casdo: Add Production Cost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өндірумен байланысты шығыстар (casdo: Add Production Cost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20.14.5. Шикізаттың, материалдардың, бөлшектердің жартылай фабрикаттардың құны </w:t>
            </w:r>
          </w:p>
          <w:p>
            <w:pPr>
              <w:spacing w:after="20"/>
              <w:ind w:left="20"/>
              <w:jc w:val="both"/>
            </w:pPr>
            <w:r>
              <w:rPr>
                <w:rFonts w:ascii="Times New Roman"/>
                <w:b w:val="false"/>
                <w:i w:val="false"/>
                <w:color w:val="000000"/>
                <w:sz w:val="20"/>
              </w:rPr>
              <w:t>
(casdo: Resource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 тұратын шикізаттың, материалдардың, бөлшектердің жартылай фабрикаттардың және осыған ұқсас заттардың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 Resource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 Resource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20.14.6. Құралдар мен керек-жарақтардың құны</w:t>
            </w:r>
          </w:p>
          <w:p>
            <w:pPr>
              <w:spacing w:after="20"/>
              <w:ind w:left="20"/>
              <w:jc w:val="both"/>
            </w:pPr>
            <w:r>
              <w:rPr>
                <w:rFonts w:ascii="Times New Roman"/>
                <w:b w:val="false"/>
                <w:i w:val="false"/>
                <w:color w:val="000000"/>
                <w:sz w:val="20"/>
              </w:rPr>
              <w:t>
(casdo: Tools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тауарларды өндіру кезінде пайдаланылған құралдардың, мөртабандардың, пішіндердің және басқа да ұқсас заттардың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 Tools Value Amount)" атрибут сәйкестендіргіші "Анықтамалықтың (сыныптауыштың) сәйкестендіргіші (currencyCodeListId атрибуты)" деректемесі толтырылған жағдайда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 Tools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20.14.7. Материалдардың құны</w:t>
            </w:r>
          </w:p>
          <w:p>
            <w:pPr>
              <w:spacing w:after="20"/>
              <w:ind w:left="20"/>
              <w:jc w:val="both"/>
            </w:pPr>
            <w:r>
              <w:rPr>
                <w:rFonts w:ascii="Times New Roman"/>
                <w:b w:val="false"/>
                <w:i w:val="false"/>
                <w:color w:val="000000"/>
                <w:sz w:val="20"/>
              </w:rPr>
              <w:t>
(casdo: Materials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 Materials Value Amount)" деректемесі толтырылған жағдайда атрибут сәйкестендіргіші "Анықтамалықтың (сыныптауыштың) сәйкестендіргіші (currencyCodeListId атрибуты)" деректемесі толтырылған жағдайда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 Materials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20.14.8. Жобалаудың, әзірлеудің, инженерлік, конструкторлық жұмыстың,көркемдік безендірудің, дизайнның, эскиздердің және сызбалардың құны </w:t>
            </w:r>
          </w:p>
          <w:p>
            <w:pPr>
              <w:spacing w:after="20"/>
              <w:ind w:left="20"/>
              <w:jc w:val="both"/>
            </w:pPr>
            <w:r>
              <w:rPr>
                <w:rFonts w:ascii="Times New Roman"/>
                <w:b w:val="false"/>
                <w:i w:val="false"/>
                <w:color w:val="000000"/>
                <w:sz w:val="20"/>
              </w:rPr>
              <w:t>
(casdo: Design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орындалған және әкелінетін тауарларды өндіруге қажетті жобалаудың, әзірлеудің, инженерлік, конструкторлық жұмыстың, дизайнның, көркемдік безендірудің, эскиздердің және сызбалардың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әзірлеу, көркемдік безендірудің инженерлік конструкторлық жұмысы, дизайн, эскиздер және сызбалар құны (casdo: Design Union Value Amount)" деректемесі толтырылған жағдайда </w:t>
            </w:r>
          </w:p>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әзірлеу, көркемдік безендірудің инженерлік конструкторлық жұмысы, дизайн, эскиздер және сызбалар құны (casdo:DesignUnionValueAmount)"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20.14.9. Сыйақылардың немесе бағаға үстемеақылардың сомасы</w:t>
            </w:r>
          </w:p>
          <w:p>
            <w:pPr>
              <w:spacing w:after="20"/>
              <w:ind w:left="20"/>
              <w:jc w:val="both"/>
            </w:pPr>
            <w:r>
              <w:rPr>
                <w:rFonts w:ascii="Times New Roman"/>
                <w:b w:val="false"/>
                <w:i w:val="false"/>
                <w:color w:val="000000"/>
                <w:sz w:val="20"/>
              </w:rPr>
              <w:t>
(casdo: Profit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және жалпы (коммерциялық және басқару) шығыстарының сомасы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"Сыйақылардың немесе бағаға үстемеақылардың сомасы (casdo: Profit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"Сыйақылардың немесе бағаға үстемеақылардың сомасы (casdo: Profit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20.14.10. Жердің атауы (аты)</w:t>
            </w:r>
          </w:p>
          <w:p>
            <w:pPr>
              <w:spacing w:after="20"/>
              <w:ind w:left="20"/>
              <w:jc w:val="both"/>
            </w:pPr>
            <w:r>
              <w:rPr>
                <w:rFonts w:ascii="Times New Roman"/>
                <w:b w:val="false"/>
                <w:i w:val="false"/>
                <w:color w:val="000000"/>
                <w:sz w:val="20"/>
              </w:rPr>
              <w:t>
(casdo: Place 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Еуразиялық экономикалық одақтың кедендік аумағына келетін жері немесе тауарлардың Еуразиялық экономикалық одақтың кедендік аумағындағы межелі жері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20.14.11. Тауарларды тасу (тасымалдау) жөніндегі шығыстар сомасы</w:t>
            </w:r>
          </w:p>
          <w:p>
            <w:pPr>
              <w:spacing w:after="20"/>
              <w:ind w:left="20"/>
              <w:jc w:val="both"/>
            </w:pPr>
            <w:r>
              <w:rPr>
                <w:rFonts w:ascii="Times New Roman"/>
                <w:b w:val="false"/>
                <w:i w:val="false"/>
                <w:color w:val="000000"/>
                <w:sz w:val="20"/>
              </w:rPr>
              <w:t>
(casdo: Transport 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аумағындағы келген жеріне дейін немесе Еуразиялық экономикалық одақтың кедендік аумағындағы межелі жеріне дейін тасу (тасымалдау) жөніндегі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 Transport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жөніндегі шығыстар сомасы (casdo: Transport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20.14.12. Тауарларды тиеу, түсіру немесе қайта тиеу жөніндегі шығыстардың сомасы</w:t>
            </w:r>
          </w:p>
          <w:p>
            <w:pPr>
              <w:spacing w:after="20"/>
              <w:ind w:left="20"/>
              <w:jc w:val="both"/>
            </w:pPr>
            <w:r>
              <w:rPr>
                <w:rFonts w:ascii="Times New Roman"/>
                <w:b w:val="false"/>
                <w:i w:val="false"/>
                <w:color w:val="000000"/>
                <w:sz w:val="20"/>
              </w:rPr>
              <w:t>
(casdo: Loading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Еуразиялық экономикалық одақтың кедендік аумағындағы келетін жеріне дейін жүргізілетін тауарларды тиеу, түсіру немесе қайта тиеу жөніндегі және оларды тасумен (тасымалдаумен) байланысты өзге де операцияларды жүргізу жөніндегі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 немесе қайта тиеу жөніндегі шығыстардың сомасы (casdo: Loading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 немесе қайта тиеу жөніндегі шығыстардың сомасы (casdo: Loading Value‌Amount)"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20.14.13. Сақтандыру шығыстарының сомасы</w:t>
            </w:r>
          </w:p>
          <w:p>
            <w:pPr>
              <w:spacing w:after="20"/>
              <w:ind w:left="20"/>
              <w:jc w:val="both"/>
            </w:pPr>
            <w:r>
              <w:rPr>
                <w:rFonts w:ascii="Times New Roman"/>
                <w:b w:val="false"/>
                <w:i w:val="false"/>
                <w:color w:val="000000"/>
                <w:sz w:val="20"/>
              </w:rPr>
              <w:t>
(casdo:‌Insurance‌Value‌Amount)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сомасы (casdo: Insurance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шығыстарының сомасы (casdo: Insurance Value Amount)"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20.15. Кедендік құнның дәл шамасын мәлімдеу мерзімі</w:t>
            </w:r>
          </w:p>
          <w:p>
            <w:pPr>
              <w:spacing w:after="20"/>
              <w:ind w:left="20"/>
              <w:jc w:val="both"/>
            </w:pPr>
            <w:r>
              <w:rPr>
                <w:rFonts w:ascii="Times New Roman"/>
                <w:b w:val="false"/>
                <w:i w:val="false"/>
                <w:color w:val="000000"/>
                <w:sz w:val="20"/>
              </w:rPr>
              <w:t>
(casdo: Customs Value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дәл шамасын мәлімдеу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20.16. Құнды қайта есептеу туралы деректер</w:t>
            </w:r>
          </w:p>
          <w:p>
            <w:pPr>
              <w:spacing w:after="20"/>
              <w:ind w:left="20"/>
              <w:jc w:val="both"/>
            </w:pPr>
            <w:r>
              <w:rPr>
                <w:rFonts w:ascii="Times New Roman"/>
                <w:b w:val="false"/>
                <w:i w:val="false"/>
                <w:color w:val="000000"/>
                <w:sz w:val="20"/>
              </w:rPr>
              <w:t>
(cacdo: CVDCurrency Exchange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ұлттық валютада қайта есептеу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CVDCurrency Exchange Details Type (M.CA.CDT.00346)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20.16.1. Құжат бағанының (позициясының) нөмірі (сәйкестендіргіші) </w:t>
            </w:r>
          </w:p>
          <w:p>
            <w:pPr>
              <w:spacing w:after="20"/>
              <w:ind w:left="20"/>
              <w:jc w:val="both"/>
            </w:pPr>
            <w:r>
              <w:rPr>
                <w:rFonts w:ascii="Times New Roman"/>
                <w:b w:val="false"/>
                <w:i w:val="false"/>
                <w:color w:val="000000"/>
                <w:sz w:val="20"/>
              </w:rPr>
              <w:t>
(casdo: Document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бағанының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Id4 Type (M.CA.SDT.00177)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20.16.2. Құн</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валюталардың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20.17. Қосымша деректер</w:t>
            </w:r>
          </w:p>
          <w:p>
            <w:pPr>
              <w:spacing w:after="20"/>
              <w:ind w:left="20"/>
              <w:jc w:val="both"/>
            </w:pPr>
            <w:r>
              <w:rPr>
                <w:rFonts w:ascii="Times New Roman"/>
                <w:b w:val="false"/>
                <w:i w:val="false"/>
                <w:color w:val="000000"/>
                <w:sz w:val="20"/>
              </w:rPr>
              <w:t>
(cacdo: CVDAdditional Information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декларациясында қосымша мәліметтер ұсынатын компоненттер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CVDAdditional Information Details Type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20.17.1. Құжат бағанының (позициясының) нөмірі (сәйкестендіргіші)</w:t>
            </w:r>
          </w:p>
          <w:p>
            <w:pPr>
              <w:spacing w:after="20"/>
              <w:ind w:left="20"/>
              <w:jc w:val="both"/>
            </w:pPr>
            <w:r>
              <w:rPr>
                <w:rFonts w:ascii="Times New Roman"/>
                <w:b w:val="false"/>
                <w:i w:val="false"/>
                <w:color w:val="000000"/>
                <w:sz w:val="20"/>
              </w:rPr>
              <w:t>
(casdo: Document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бағанының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Id4 Type (M.CA.SDT.00177)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20.17.2. Сипаттама</w:t>
            </w:r>
          </w:p>
          <w:p>
            <w:pPr>
              <w:spacing w:after="20"/>
              <w:ind w:left="20"/>
              <w:jc w:val="both"/>
            </w:pPr>
            <w:r>
              <w:rPr>
                <w:rFonts w:ascii="Times New Roman"/>
                <w:b w:val="false"/>
                <w:i w:val="false"/>
                <w:color w:val="000000"/>
                <w:sz w:val="20"/>
              </w:rPr>
              <w:t>
(csdo: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құбылысты немесе процесті еркін нысанда мәтіндік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Кедендік құжатты толтырған (оған қол қойған) жеке тұлға</w:t>
            </w:r>
          </w:p>
          <w:p>
            <w:pPr>
              <w:spacing w:after="20"/>
              <w:ind w:left="20"/>
              <w:jc w:val="both"/>
            </w:pPr>
            <w:r>
              <w:rPr>
                <w:rFonts w:ascii="Times New Roman"/>
                <w:b w:val="false"/>
                <w:i w:val="false"/>
                <w:color w:val="000000"/>
                <w:sz w:val="20"/>
              </w:rPr>
              <w:t>
(cacdo: Signatory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Details 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21.1. Құжатқа қол қойған лауазымды адам </w:t>
            </w:r>
          </w:p>
          <w:p>
            <w:pPr>
              <w:spacing w:after="20"/>
              <w:ind w:left="20"/>
              <w:jc w:val="both"/>
            </w:pPr>
            <w:r>
              <w:rPr>
                <w:rFonts w:ascii="Times New Roman"/>
                <w:b w:val="false"/>
                <w:i w:val="false"/>
                <w:color w:val="000000"/>
                <w:sz w:val="20"/>
              </w:rPr>
              <w:t>
(cacdo: Signing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Signing Details 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21.1.3. Қатынас жасау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ChannelCode)" деректемесі  "ТЕ" немесе "FX" мәнін қамтаған жағдайда, "Байланыс арнасының сәйкестендіргіші (csdo: Communication Channel Id)" деректемесі телефонның немесе телефакстің нөмірін қамтуға және: +СССРРНННН шаблонына сәйкес көрсетілуге тиіс, мұнда ССС – елдің коды (1-ден 3 цифр-ға дейін), РР – межелі пункттің ұлттық коды (кемінде 2 цифр (қаланың, кенттің және т.с.с. коды) немесе ұялы байланыс операторының коды, НННН –абоненттің нөмірі (кемінде 4 цифр). Бос орын белгісі нөмір топтары арасындағы бөлгіш болып табылады. Нөмірдің ұзындығы 15-тен аспайтын цифрды құрауға тиіс ("+" символдары және бос жер ескерілмейді).Өзге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21.1.4. Қол қою күні </w:t>
            </w:r>
          </w:p>
          <w:p>
            <w:pPr>
              <w:spacing w:after="20"/>
              <w:ind w:left="20"/>
              <w:jc w:val="both"/>
            </w:pPr>
            <w:r>
              <w:rPr>
                <w:rFonts w:ascii="Times New Roman"/>
                <w:b w:val="false"/>
                <w:i w:val="false"/>
                <w:color w:val="000000"/>
                <w:sz w:val="20"/>
              </w:rPr>
              <w:t>
(casdo: Signing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21.2. Кедендік құжатты толтырған (оған қол қойған) адамның жеке басын куәландыратын құжат</w:t>
            </w:r>
          </w:p>
          <w:p>
            <w:pPr>
              <w:spacing w:after="20"/>
              <w:ind w:left="20"/>
              <w:jc w:val="both"/>
            </w:pPr>
            <w:r>
              <w:rPr>
                <w:rFonts w:ascii="Times New Roman"/>
                <w:b w:val="false"/>
                <w:i w:val="false"/>
                <w:color w:val="000000"/>
                <w:sz w:val="20"/>
              </w:rPr>
              <w:t>
(cacdo: Signatory Person Identity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(оған қол қойған) адамның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Signatory Person Identity Details 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21.2.9. Электрондық құжатың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*.2. Сақтау қоймасындағы электрондық құжаттың (мәліметтердің) сәйкестендіргіші </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қоймасындағы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Ұзындық: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Wordinal Details 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 тіркеу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 тіркеу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Id6 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Power Of Attorney Details 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 Деректеме Еуразиялық экономикалық комиссия немесе мүше мемлекеттің заңнамасы бекіткен анықтамалық (сыныптауыш) болған кезде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қолданыс мерзімінің басталу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қолданыс мерзімінің аяқталу күні</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21.4.7. Электрондық құжатың (мәліметтердің)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Code10 Type (M.SDT.00179)</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21.4.8. Сақтау қоймасындағы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 Arch Id Details 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құжаттарды сақтау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*.2. Сақтау қоймасындағы электрондық құжаттың (мәліметтердің) сәйкестендіргіші </w:t>
            </w:r>
          </w:p>
          <w:p>
            <w:pPr>
              <w:spacing w:after="20"/>
              <w:ind w:left="20"/>
              <w:jc w:val="both"/>
            </w:pPr>
            <w:r>
              <w:rPr>
                <w:rFonts w:ascii="Times New Roman"/>
                <w:b w:val="false"/>
                <w:i w:val="false"/>
                <w:color w:val="000000"/>
                <w:sz w:val="20"/>
              </w:rPr>
              <w:t>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21.4.9. Құжаттың іс жүзінде ұсынылуы туралы мәліметтер</w:t>
            </w:r>
          </w:p>
          <w:p>
            <w:pPr>
              <w:spacing w:after="20"/>
              <w:ind w:left="20"/>
              <w:jc w:val="both"/>
            </w:pPr>
            <w:r>
              <w:rPr>
                <w:rFonts w:ascii="Times New Roman"/>
                <w:b w:val="false"/>
                <w:i w:val="false"/>
                <w:color w:val="000000"/>
                <w:sz w:val="20"/>
              </w:rPr>
              <w:t>
(cacdo: Document Presenting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Document Presenting Details 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 Doc Present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Doc Present Kind Code 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Ұзындық: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(бұрын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одақ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 Doc Present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 өзіне дейін орындалуға тиіс болатын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тіркелген, уақытша әкелу (жіберу) кедендік рәсімімен орналастырылған тауарлар болып табылатын, уақытша әкелінген халықаралық тасымалдың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ТТТТТТТТ/ККААЖЖ/ННННННН/РР шаблонына сәйкес келетін нөмірі туралы мәлімет көрсетіледі, мұнда ТТТТТТТ – кеден органының коды (2, 5 немесе 8 белгі), ККААЖЖ – құжатты тіркеу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Id2 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DTMDoc Details 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ажырау (#xA) және табуляциялар (#x9) символдарын қамтымайтын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өзіне ұсынылған құжат қоса тіркелген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TIRBase Id Details 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TIRSeries Id 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TIRId 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 Preceding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қоса тіркелген өзге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 тіркеу күні, ННННННН – құжаттың тіркеу журналы бойынша нөмірі, РР – өзгерістердің және (немесе) толықтырулардың реттік нөмірі (РР элементі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тіркелген өзге құжатты беру, оған қол қою, оны бекіту немесе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w:t>
            </w:r>
          </w:p>
          <w:p>
            <w:pPr>
              <w:spacing w:after="20"/>
              <w:ind w:left="20"/>
              <w:jc w:val="both"/>
            </w:pPr>
            <w:r>
              <w:rPr>
                <w:rFonts w:ascii="Times New Roman"/>
                <w:b w:val="false"/>
                <w:i w:val="false"/>
                <w:color w:val="000000"/>
                <w:sz w:val="20"/>
              </w:rPr>
              <w:t>
(casdo:)"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Декларанттың немесе кедендік өкілдің шығыс құжаттарын есепке алу жүйесінде құжатты тіркеу нөмірі </w:t>
            </w:r>
          </w:p>
          <w:p>
            <w:pPr>
              <w:spacing w:after="20"/>
              <w:ind w:left="20"/>
              <w:jc w:val="both"/>
            </w:pPr>
            <w:r>
              <w:rPr>
                <w:rFonts w:ascii="Times New Roman"/>
                <w:b w:val="false"/>
                <w:i w:val="false"/>
                <w:color w:val="000000"/>
                <w:sz w:val="20"/>
              </w:rPr>
              <w:t>
(casdo:Internal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Қорғау жапсырмасының сәйкестендіргіші</w:t>
            </w:r>
          </w:p>
          <w:p>
            <w:pPr>
              <w:spacing w:after="20"/>
              <w:ind w:left="20"/>
              <w:jc w:val="both"/>
            </w:pPr>
            <w:r>
              <w:rPr>
                <w:rFonts w:ascii="Times New Roman"/>
                <w:b w:val="false"/>
                <w:i w:val="false"/>
                <w:color w:val="000000"/>
                <w:sz w:val="20"/>
              </w:rPr>
              <w:t>
(casdo:Security Label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 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bl>
    <w:p>
      <w:pPr>
        <w:spacing w:after="0"/>
        <w:ind w:left="0"/>
        <w:jc w:val="both"/>
      </w:pPr>
      <w:r>
        <w:rPr>
          <w:rFonts w:ascii="Times New Roman"/>
          <w:b w:val="false"/>
          <w:i w:val="false"/>
          <w:color w:val="000000"/>
          <w:sz w:val="28"/>
        </w:rPr>
        <w:t>
      ________________</w:t>
      </w:r>
    </w:p>
    <w:bookmarkStart w:name="z31" w:id="24"/>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кедендік құн декларациясында көрсетілуге жататын не мәліметтерді автоматтандырып өңдеу үшін қажет болған жағдайларда қолданылады.</w:t>
      </w:r>
    </w:p>
    <w:bookmarkEnd w:id="24"/>
    <w:bookmarkStart w:name="z32" w:id="25"/>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w:t>
      </w:r>
    </w:p>
    <w:bookmarkEnd w:id="25"/>
    <w:bookmarkStart w:name="z33" w:id="26"/>
    <w:p>
      <w:pPr>
        <w:spacing w:after="0"/>
        <w:ind w:left="0"/>
        <w:jc w:val="both"/>
      </w:pPr>
      <w:r>
        <w:rPr>
          <w:rFonts w:ascii="Times New Roman"/>
          <w:b w:val="false"/>
          <w:i w:val="false"/>
          <w:color w:val="000000"/>
          <w:sz w:val="28"/>
        </w:rPr>
        <w:t>
      ** Сәйкестендіргіштің мәні мына шаблонға сәйкес көрсетіледі: 1ZZZ – анықтамалық үшін, 2ZZZ – сыныптауыш үшін, мұнда ZZZ – Еуразиялық экономикалық комиссияның 2015 жылғы 17 қарашадағы № 155 шешіміне сәйкес қалыптастырылған Одақтың НАА тізілімі бойынша анықтамалықтың (сыныптауыштың) коды.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