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8c38" w14:textId="1f58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жұмыскерлері еңбегінің кейбір мәселелері туралы" Қазақстан Республикасы Ұлттық қауіпсіздік комитеті Төрағасының 2016 жылғы 7 қыркүйектегі № 62 бұйрығына өзгеріс енгізу және "Қазақстан Республикасы ұлттық қауіпсіздік органдарының тұрғын үй комиссиялары қызметінің және ақпараттық жүйесінің жұмыс істеу қағидаларын бекіту туралы" Қазақстан Республикасы Ұлттық қауіпсіздік комитеті Төрағасының 2018 жылғы 28 желтоқсандағы № 110/қе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25 маусымдағы № 45/нс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жұмыскерлері еңбегінің кейбір мәселелері туралы" Қазақстан Республикасы Ұлттық қауіпсіздік комитеті Төрағасының 2016 жылғы 7 желтоқсандағы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14322 болып тіркелген) мынадай өзгеріс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органдарының жұмыскерлері үшін мамандығы бойынша жұмыс өтілін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"3) Қазақстан Республикасы Парламентi не болмаса Құрылтай депутатының, маслихат депутатының өкiлеттiгiн жүзеге асырған;".</w:t>
      </w:r>
    </w:p>
    <w:bookmarkEnd w:id="5"/>
    <w:bookmarkStart w:name="z11" w:id="6"/>
    <w:p>
      <w:pPr>
        <w:spacing w:after="0"/>
        <w:ind w:left="0"/>
        <w:jc w:val="both"/>
      </w:pPr>
      <w:r>
        <w:rPr>
          <w:rFonts w:ascii="Times New Roman"/>
          <w:b w:val="false"/>
          <w:i w:val="false"/>
          <w:color w:val="000000"/>
          <w:sz w:val="28"/>
        </w:rPr>
        <w:t xml:space="preserve">
      2. "Қазақстан Республикасы ұлттық қауіпсіздік органдарының тұрғын үй комиссиялары қызметінің және ақпараттық жүйесінің жұмыс істеу қағидаларын бекіту туралы" Қазақстан Республикасы Ұлттық қауіпсіздік комитеті Төрағасының 2018 жылғы 28 желтоқсандағы № 110/қе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18122 болып тіркелген)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"Қазақстан Республикасы ұлттық қауіпсіздік органдарының тұрғын үй комиссиялары қызметінің және цифрлық жүйесінің жұмыс істеу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"Қазақстан Республикасы Президенті 1996 жылғы 1 сәуірдегі № 2922 Жарлығымен бекітілген Қазақстан Республикасы Ұлттық қауіпсіздік комитеті туралы ереже15-тармағының </w:t>
      </w:r>
      <w:r>
        <w:rPr>
          <w:rFonts w:ascii="Times New Roman"/>
          <w:b w:val="false"/>
          <w:i w:val="false"/>
          <w:color w:val="000000"/>
          <w:sz w:val="28"/>
        </w:rPr>
        <w:t>210) тармақшасына</w:t>
      </w:r>
      <w:r>
        <w:rPr>
          <w:rFonts w:ascii="Times New Roman"/>
          <w:b w:val="false"/>
          <w:i w:val="false"/>
          <w:color w:val="000000"/>
          <w:sz w:val="28"/>
        </w:rPr>
        <w:t xml:space="preserve"> сәйкес БҰЙЫРАМЫН:";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тұрғын үй комиссиялары қызметінің және цифрлық жүйесінің жұмыс істеу қағидалары бекітілсін.";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органдарының тұрғын үй комиссиялары қызметінің және ақпараттық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"Қазақстан Республикасы ұлттық қауіпсіздік органдарының тұрғын үй комиссиялары қызметінің және цифрлық жүйесінің жұмыс істеу қағидалары";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"12. Тұрғын үй комиссиясы қажеттілігіне қарай, бірақ айына кемінде бір рет жиналады.</w:t>
      </w:r>
    </w:p>
    <w:bookmarkEnd w:id="12"/>
    <w:bookmarkStart w:name="z23" w:id="13"/>
    <w:p>
      <w:pPr>
        <w:spacing w:after="0"/>
        <w:ind w:left="0"/>
        <w:jc w:val="both"/>
      </w:pPr>
      <w:r>
        <w:rPr>
          <w:rFonts w:ascii="Times New Roman"/>
          <w:b w:val="false"/>
          <w:i w:val="false"/>
          <w:color w:val="000000"/>
          <w:sz w:val="28"/>
        </w:rPr>
        <w:t>
      ҰҚО тұрғын үй комиссияларының қызметін ұйымдастыру ол болған кезде цифрлық жүйе арқылы автоматты түрде жүзеге асырылады.</w:t>
      </w:r>
    </w:p>
    <w:bookmarkEnd w:id="13"/>
    <w:bookmarkStart w:name="z24" w:id="14"/>
    <w:p>
      <w:pPr>
        <w:spacing w:after="0"/>
        <w:ind w:left="0"/>
        <w:jc w:val="both"/>
      </w:pPr>
      <w:r>
        <w:rPr>
          <w:rFonts w:ascii="Times New Roman"/>
          <w:b w:val="false"/>
          <w:i w:val="false"/>
          <w:color w:val="000000"/>
          <w:sz w:val="28"/>
        </w:rPr>
        <w:t>
      13. Тұрғын үй комиссиясының шешіміне Тұрғын үй комиссияның дауыс беру құқығы бар мүшелері қол қояды.</w:t>
      </w:r>
    </w:p>
    <w:bookmarkEnd w:id="14"/>
    <w:bookmarkStart w:name="z25" w:id="15"/>
    <w:p>
      <w:pPr>
        <w:spacing w:after="0"/>
        <w:ind w:left="0"/>
        <w:jc w:val="both"/>
      </w:pPr>
      <w:r>
        <w:rPr>
          <w:rFonts w:ascii="Times New Roman"/>
          <w:b w:val="false"/>
          <w:i w:val="false"/>
          <w:color w:val="000000"/>
          <w:sz w:val="28"/>
        </w:rPr>
        <w:t>
      Тұрғын үй комиссиясының дауыс беру құқығы бар мүшелері Тұрғын үй комиссиясының шешімінде көрсетілген мәліметтердің толықтығы мен дұрыстығына жауап береді.</w:t>
      </w:r>
    </w:p>
    <w:bookmarkEnd w:id="15"/>
    <w:bookmarkStart w:name="z26" w:id="16"/>
    <w:p>
      <w:pPr>
        <w:spacing w:after="0"/>
        <w:ind w:left="0"/>
        <w:jc w:val="both"/>
      </w:pPr>
      <w:r>
        <w:rPr>
          <w:rFonts w:ascii="Times New Roman"/>
          <w:b w:val="false"/>
          <w:i w:val="false"/>
          <w:color w:val="000000"/>
          <w:sz w:val="28"/>
        </w:rPr>
        <w:t>
      Шешім әр адам (үміткер) бойынша жеке қабылданады.".</w:t>
      </w:r>
    </w:p>
    <w:bookmarkEnd w:id="16"/>
    <w:bookmarkStart w:name="z27" w:id="17"/>
    <w:p>
      <w:pPr>
        <w:spacing w:after="0"/>
        <w:ind w:left="0"/>
        <w:jc w:val="both"/>
      </w:pPr>
      <w:r>
        <w:rPr>
          <w:rFonts w:ascii="Times New Roman"/>
          <w:b w:val="false"/>
          <w:i w:val="false"/>
          <w:color w:val="000000"/>
          <w:sz w:val="28"/>
        </w:rPr>
        <w:t>
      4-тараудың тақырыбы мынадай редакцияда жазылсын:</w:t>
      </w:r>
    </w:p>
    <w:bookmarkEnd w:id="17"/>
    <w:bookmarkStart w:name="z28" w:id="18"/>
    <w:p>
      <w:pPr>
        <w:spacing w:after="0"/>
        <w:ind w:left="0"/>
        <w:jc w:val="both"/>
      </w:pPr>
      <w:r>
        <w:rPr>
          <w:rFonts w:ascii="Times New Roman"/>
          <w:b w:val="false"/>
          <w:i w:val="false"/>
          <w:color w:val="000000"/>
          <w:sz w:val="28"/>
        </w:rPr>
        <w:t>
      "4-тарау. Цифрлық жүйенің жұмыс істеу тәртібі"</w:t>
      </w:r>
    </w:p>
    <w:bookmarkEnd w:id="18"/>
    <w:bookmarkStart w:name="z29" w:id="19"/>
    <w:p>
      <w:pPr>
        <w:spacing w:after="0"/>
        <w:ind w:left="0"/>
        <w:jc w:val="both"/>
      </w:pPr>
      <w:r>
        <w:rPr>
          <w:rFonts w:ascii="Times New Roman"/>
          <w:b w:val="false"/>
          <w:i w:val="false"/>
          <w:color w:val="000000"/>
          <w:sz w:val="28"/>
        </w:rPr>
        <w:t>
      19, 20, 21, 22-тармақтар мынадай редакцияда жазылсын:</w:t>
      </w:r>
    </w:p>
    <w:bookmarkEnd w:id="19"/>
    <w:bookmarkStart w:name="z30" w:id="20"/>
    <w:p>
      <w:pPr>
        <w:spacing w:after="0"/>
        <w:ind w:left="0"/>
        <w:jc w:val="both"/>
      </w:pPr>
      <w:r>
        <w:rPr>
          <w:rFonts w:ascii="Times New Roman"/>
          <w:b w:val="false"/>
          <w:i w:val="false"/>
          <w:color w:val="000000"/>
          <w:sz w:val="28"/>
        </w:rPr>
        <w:t>
      "19. Цифрлық жүйе үміткерлердің деректерін есепке алуға, сақтауға, өңдеуге және талдауға арналған және тұрғын үй комиссиясы шешім қабылдау үшін қажетті ақпаратты орталықтандырылғын жинауды, жүйелендіруді қамтамасыз етеді.</w:t>
      </w:r>
    </w:p>
    <w:bookmarkEnd w:id="20"/>
    <w:bookmarkStart w:name="z31" w:id="21"/>
    <w:p>
      <w:pPr>
        <w:spacing w:after="0"/>
        <w:ind w:left="0"/>
        <w:jc w:val="both"/>
      </w:pPr>
      <w:r>
        <w:rPr>
          <w:rFonts w:ascii="Times New Roman"/>
          <w:b w:val="false"/>
          <w:i w:val="false"/>
          <w:color w:val="000000"/>
          <w:sz w:val="28"/>
        </w:rPr>
        <w:t>
      Цифрлық жүйеге деректер енгізуді тұрғын үй комиссиясының хатшысы тұрғын үй комиссиясы шешімдерінің негізінде жүзеге асырады.</w:t>
      </w:r>
    </w:p>
    <w:bookmarkEnd w:id="21"/>
    <w:bookmarkStart w:name="z32" w:id="22"/>
    <w:p>
      <w:pPr>
        <w:spacing w:after="0"/>
        <w:ind w:left="0"/>
        <w:jc w:val="both"/>
      </w:pPr>
      <w:r>
        <w:rPr>
          <w:rFonts w:ascii="Times New Roman"/>
          <w:b w:val="false"/>
          <w:i w:val="false"/>
          <w:color w:val="000000"/>
          <w:sz w:val="28"/>
        </w:rPr>
        <w:t>
      20. Цифрлық жүйенің жұмысы Қазақстан Республикасының цифрлық заңнамасына, Қазақстан Республикасының дербес деректер және оларды қорғау туралы заңнамасына сәйкес жүзеге асырылады.</w:t>
      </w:r>
    </w:p>
    <w:bookmarkEnd w:id="22"/>
    <w:bookmarkStart w:name="z33" w:id="23"/>
    <w:p>
      <w:pPr>
        <w:spacing w:after="0"/>
        <w:ind w:left="0"/>
        <w:jc w:val="both"/>
      </w:pPr>
      <w:r>
        <w:rPr>
          <w:rFonts w:ascii="Times New Roman"/>
          <w:b w:val="false"/>
          <w:i w:val="false"/>
          <w:color w:val="000000"/>
          <w:sz w:val="28"/>
        </w:rPr>
        <w:t>
      21. Цифрлық жүйеге рұқсат өз құзыреті шеңберінде тиісті операцияларды бақылау және орындау құқығымен уәкілетті қызметкерге беріледі.</w:t>
      </w:r>
    </w:p>
    <w:bookmarkEnd w:id="23"/>
    <w:bookmarkStart w:name="z34" w:id="24"/>
    <w:p>
      <w:pPr>
        <w:spacing w:after="0"/>
        <w:ind w:left="0"/>
        <w:jc w:val="both"/>
      </w:pPr>
      <w:r>
        <w:rPr>
          <w:rFonts w:ascii="Times New Roman"/>
          <w:b w:val="false"/>
          <w:i w:val="false"/>
          <w:color w:val="000000"/>
          <w:sz w:val="28"/>
        </w:rPr>
        <w:t>
      22. Цифрлық жүйенің жұмысы мынадай функцияларды қамтиды:</w:t>
      </w:r>
    </w:p>
    <w:bookmarkEnd w:id="24"/>
    <w:bookmarkStart w:name="z35" w:id="25"/>
    <w:p>
      <w:pPr>
        <w:spacing w:after="0"/>
        <w:ind w:left="0"/>
        <w:jc w:val="both"/>
      </w:pPr>
      <w:r>
        <w:rPr>
          <w:rFonts w:ascii="Times New Roman"/>
          <w:b w:val="false"/>
          <w:i w:val="false"/>
          <w:color w:val="000000"/>
          <w:sz w:val="28"/>
        </w:rPr>
        <w:t>
      1) есепке алу – кейіннен талдау және шешімдер қабылдау үшін үміткерлер туралы деректерді тіркеу және бекіту;</w:t>
      </w:r>
    </w:p>
    <w:bookmarkEnd w:id="25"/>
    <w:bookmarkStart w:name="z36" w:id="26"/>
    <w:p>
      <w:pPr>
        <w:spacing w:after="0"/>
        <w:ind w:left="0"/>
        <w:jc w:val="both"/>
      </w:pPr>
      <w:r>
        <w:rPr>
          <w:rFonts w:ascii="Times New Roman"/>
          <w:b w:val="false"/>
          <w:i w:val="false"/>
          <w:color w:val="000000"/>
          <w:sz w:val="28"/>
        </w:rPr>
        <w:t>
      2) деректерді сақтау – оның құпиялылығы мен қорғалуын қамтамасыз ете отырып, жеке және қызметтік ақпаратты қауіпсіз және ұзақ мерзімді сақтау;</w:t>
      </w:r>
    </w:p>
    <w:bookmarkEnd w:id="26"/>
    <w:bookmarkStart w:name="z37" w:id="27"/>
    <w:p>
      <w:pPr>
        <w:spacing w:after="0"/>
        <w:ind w:left="0"/>
        <w:jc w:val="both"/>
      </w:pPr>
      <w:r>
        <w:rPr>
          <w:rFonts w:ascii="Times New Roman"/>
          <w:b w:val="false"/>
          <w:i w:val="false"/>
          <w:color w:val="000000"/>
          <w:sz w:val="28"/>
        </w:rPr>
        <w:t>
      3) деректерді өңдеу – қызметкерлерден, әскери қызметшілерден және жұмыскерлерден түсетін мәліметтерді автоматтандырылған түрде тексеру, сұрыптау және құрылымдау;</w:t>
      </w:r>
    </w:p>
    <w:bookmarkEnd w:id="27"/>
    <w:bookmarkStart w:name="z38" w:id="28"/>
    <w:p>
      <w:pPr>
        <w:spacing w:after="0"/>
        <w:ind w:left="0"/>
        <w:jc w:val="both"/>
      </w:pPr>
      <w:r>
        <w:rPr>
          <w:rFonts w:ascii="Times New Roman"/>
          <w:b w:val="false"/>
          <w:i w:val="false"/>
          <w:color w:val="000000"/>
          <w:sz w:val="28"/>
        </w:rPr>
        <w:t>
      4) деректерді талдау – тұрғын үй комиссиясының шешімдерін дайындау және есептілікті қалыптастыру үшін ақпаратты автоматтандырылған түрде бағалауды, салыстыруды және қорытындылауды жүргізу;</w:t>
      </w:r>
    </w:p>
    <w:bookmarkEnd w:id="28"/>
    <w:bookmarkStart w:name="z39" w:id="29"/>
    <w:p>
      <w:pPr>
        <w:spacing w:after="0"/>
        <w:ind w:left="0"/>
        <w:jc w:val="both"/>
      </w:pPr>
      <w:r>
        <w:rPr>
          <w:rFonts w:ascii="Times New Roman"/>
          <w:b w:val="false"/>
          <w:i w:val="false"/>
          <w:color w:val="000000"/>
          <w:sz w:val="28"/>
        </w:rPr>
        <w:t>
      5) орталықтандырылған жинау – ұсынылған құжаттардан деректерді бірыңғай құрылымдалған жиымға орталықтандырылған қабылдауды және біріктіруді қамтамасыз ету;</w:t>
      </w:r>
    </w:p>
    <w:bookmarkEnd w:id="29"/>
    <w:bookmarkStart w:name="z40" w:id="30"/>
    <w:p>
      <w:pPr>
        <w:spacing w:after="0"/>
        <w:ind w:left="0"/>
        <w:jc w:val="both"/>
      </w:pPr>
      <w:r>
        <w:rPr>
          <w:rFonts w:ascii="Times New Roman"/>
          <w:b w:val="false"/>
          <w:i w:val="false"/>
          <w:color w:val="000000"/>
          <w:sz w:val="28"/>
        </w:rPr>
        <w:t>
      6) ақпаратты жүйелеу – келіп түсетін деректерді одан әрі өндеуге және талдауға дайындай отырып, анықталған белгілер (санаттар, мәртебелер, мерзімдер, кезектіліктер) бойынша ретке келтіру және жіктеу.".</w:t>
      </w:r>
    </w:p>
    <w:bookmarkEnd w:id="30"/>
    <w:bookmarkStart w:name="z41" w:id="31"/>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 Қазақстан Республикасы заңнамасында белгіленген тәртіппен:</w:t>
      </w:r>
    </w:p>
    <w:bookmarkEnd w:id="31"/>
    <w:bookmarkStart w:name="z42" w:id="32"/>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2"/>
    <w:bookmarkStart w:name="z43" w:id="33"/>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интернет-ресурсына орналастыруды қамтамасыз етсін.</w:t>
      </w:r>
    </w:p>
    <w:bookmarkEnd w:id="33"/>
    <w:bookmarkStart w:name="z44" w:id="34"/>
    <w:p>
      <w:pPr>
        <w:spacing w:after="0"/>
        <w:ind w:left="0"/>
        <w:jc w:val="both"/>
      </w:pPr>
      <w:r>
        <w:rPr>
          <w:rFonts w:ascii="Times New Roman"/>
          <w:b w:val="false"/>
          <w:i w:val="false"/>
          <w:color w:val="000000"/>
          <w:sz w:val="28"/>
        </w:rPr>
        <w:t xml:space="preserve">
      4. Осы бұйрық 2026 жылғы 1 шілдеден бастап қолданысқа енгізілетін осы бұйрықтың </w:t>
      </w:r>
      <w:r>
        <w:rPr>
          <w:rFonts w:ascii="Times New Roman"/>
          <w:b w:val="false"/>
          <w:i w:val="false"/>
          <w:color w:val="000000"/>
          <w:sz w:val="28"/>
        </w:rPr>
        <w:t>1-тармағын</w:t>
      </w:r>
      <w:r>
        <w:rPr>
          <w:rFonts w:ascii="Times New Roman"/>
          <w:b w:val="false"/>
          <w:i w:val="false"/>
          <w:color w:val="000000"/>
          <w:sz w:val="28"/>
        </w:rPr>
        <w:t xml:space="preserve">, сондай-ақ </w:t>
      </w:r>
      <w:r>
        <w:rPr>
          <w:rFonts w:ascii="Times New Roman"/>
          <w:b w:val="false"/>
          <w:i w:val="false"/>
          <w:color w:val="000000"/>
          <w:sz w:val="28"/>
        </w:rPr>
        <w:t>2-тармағының</w:t>
      </w:r>
      <w:r>
        <w:rPr>
          <w:rFonts w:ascii="Times New Roman"/>
          <w:b w:val="false"/>
          <w:i w:val="false"/>
          <w:color w:val="000000"/>
          <w:sz w:val="28"/>
        </w:rPr>
        <w:t xml:space="preserve"> он төртінші абзацынан бастап он жетінші абзацтарын қоспағанда, 2026 жылғы 12 шілдеден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