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1fc5" w14:textId="77e1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2025 жылғы 20 қарашадағы № 334 "Қарағанды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2026 жылғы 6 мамырдағы № 395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 жылғы 20 қарашадағы № 334 "Қарағанды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1-тармақтың күші 2026 жылғы 1 сәуірден бастап туындаған құқықтық қатынастарға қолданылады.".</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