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1863" w14:textId="6751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Мотор майларын таңбалауда қолданылатын бақылау (сәйкестендіру) белгісі, сәйкестендіру құралы құнының шекті мөлшерін айқындау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19 қаңтардағы № 29-н/қ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01.02.2026 ж. бастап қолданысқа енгізіледі</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Мотор майларын таңбалауда қолданылатын бақылау (сәйкестендіру) белгісі, сәйкестендіру құралы құнының шекті мөлшері қосылған құн салығынсыз бірлік үшін 4,7 теңге мөлшерінде айқындалсын.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Мұнай-газ-химия және техникалық реттеу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xml:space="preserve">
      1) осы бұйрыққа қол қойылған күннен бастап бес жұмыс күні ішінде оның көшірмесін электронды түрде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2026 жылғы 1 ақпаннан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Сауда және интеграция министрлігі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