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69e7" w14:textId="a9f6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18 мамырдағы № 311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"Ерекше қорғалатын табиғи аумақтар саласындағы мемлекеттік мекемелер көрсететін қызметтер" бөлімі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10</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3</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207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256</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 туристік соқпақтар, тамашалау алаңдарын, демалу алаңқайларын, көлікке арналған тұрақтарды, оның ішінде электр желілеріне қол жеткізуге болатын орындарда электрқуаттаустанциялары бар тұрақтарды, кемпингтер, шатырлы лагерлер немесе оларды орналастыратын орындар; қонақ үйлер, мотелдер, туристік базалар, балық өсіру шаруашылықтары,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 ерекше қорғалатын табиғи аумақта құбырлар, электр қуатын беру және байланыс желілерін, жолдарды салу және орналастыру жөнінде қызметтер көрсету; туристік құрал-жабдықтар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әуесқойлық (спорттық) балық аулауды, сондай-ақ балық өсіруді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1) табиғи кешендерді сақтау және дамытуға;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өсімдіктер мен жануарлар дүниесін қорғауға;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аумақтарды тазартуға және абаттандыруға;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13)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табиғат музейлері мен көрмелерді ұйымдастыруға және оларды күтіп ұстауға;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рекреациялық аймақтарды дамытуға және абаттандыруға;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16) жарнамалық қызметті жетілдіруге;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17) экологиялық насихатауға;</w:t>
            </w:r>
          </w:p>
          <w:p>
            <w:pPr>
              <w:spacing w:after="20"/>
              <w:ind w:left="20"/>
              <w:jc w:val="both"/>
            </w:pPr>
            <w:r>
              <w:rPr>
                <w:rFonts w:ascii="Times New Roman"/>
                <w:b w:val="false"/>
                <w:i w:val="false"/>
                <w:color w:val="000000"/>
                <w:sz w:val="20"/>
              </w:rPr>
              <w:t>
18) теріс экологиялық зардаптардың алдын алуға және жоюға. (112, 113, 116, 121, 122, 123, 124, 131, 135, 136, 141, 142, 143, 144, 149, 151, 152, 153, 154, 156,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Заңының 38-бабы,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Экология және табиғи ресурстар министрінің 2025 жылғы 27 маусымдағы № 175 </w:t>
            </w:r>
            <w:r>
              <w:rPr>
                <w:rFonts w:ascii="Times New Roman"/>
                <w:b w:val="false"/>
                <w:i w:val="false"/>
                <w:color w:val="000000"/>
                <w:sz w:val="20"/>
              </w:rPr>
              <w:t>бұйрығы</w:t>
            </w:r>
            <w:r>
              <w:rPr>
                <w:rFonts w:ascii="Times New Roman"/>
                <w:b w:val="false"/>
                <w:i w:val="false"/>
                <w:color w:val="000000"/>
                <w:sz w:val="20"/>
              </w:rPr>
              <w:t xml:space="preserve"> (бұдан әрі – № 175 Қағидалар) (Нормативтік құқықтық актілерді мемлекеттік тіркеу тізілімінде № 36373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РБ</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
10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
3</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
207</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7"/>
          <w:p>
            <w:pPr>
              <w:spacing w:after="20"/>
              <w:ind w:left="20"/>
              <w:jc w:val="both"/>
            </w:pPr>
            <w:r>
              <w:rPr>
                <w:rFonts w:ascii="Times New Roman"/>
                <w:b w:val="false"/>
                <w:i w:val="false"/>
                <w:color w:val="000000"/>
                <w:sz w:val="20"/>
              </w:rPr>
              <w:t>
256</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8"/>
          <w:p>
            <w:pPr>
              <w:spacing w:after="20"/>
              <w:ind w:left="20"/>
              <w:jc w:val="both"/>
            </w:pPr>
            <w:r>
              <w:rPr>
                <w:rFonts w:ascii="Times New Roman"/>
                <w:b w:val="false"/>
                <w:i w:val="false"/>
                <w:color w:val="000000"/>
                <w:sz w:val="20"/>
              </w:rPr>
              <w:t>
100</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Шектеулі шаруашылық қызметінен, оның ішінде:</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кәдесый өнімдерін өндіруден;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шектеулі шаруашылық қызмет тауарларын өткізуден, балық және балық өнімдерін өткізуден, орман дақылдарын, қорғаныштық және жасыл екпелерді жасаудан түсетін кірістер;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шабақтарын өсіруден;</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РБ</w:t>
            </w:r>
          </w:p>
          <w:bookmarkEnd w:id="20"/>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1"/>
          <w:p>
            <w:pPr>
              <w:spacing w:after="20"/>
              <w:ind w:left="20"/>
              <w:jc w:val="both"/>
            </w:pPr>
            <w:r>
              <w:rPr>
                <w:rFonts w:ascii="Times New Roman"/>
                <w:b w:val="false"/>
                <w:i w:val="false"/>
                <w:color w:val="000000"/>
                <w:sz w:val="20"/>
              </w:rPr>
              <w:t>
10</w:t>
            </w:r>
          </w:p>
          <w:bookmarkEnd w:id="21"/>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2"/>
          <w:p>
            <w:pPr>
              <w:spacing w:after="20"/>
              <w:ind w:left="20"/>
              <w:jc w:val="both"/>
            </w:pPr>
            <w:r>
              <w:rPr>
                <w:rFonts w:ascii="Times New Roman"/>
                <w:b w:val="false"/>
                <w:i w:val="false"/>
                <w:color w:val="000000"/>
                <w:sz w:val="20"/>
              </w:rPr>
              <w:t>
5</w:t>
            </w:r>
          </w:p>
          <w:bookmarkEnd w:id="22"/>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3"/>
          <w:p>
            <w:pPr>
              <w:spacing w:after="20"/>
              <w:ind w:left="20"/>
              <w:jc w:val="both"/>
            </w:pPr>
            <w:r>
              <w:rPr>
                <w:rFonts w:ascii="Times New Roman"/>
                <w:b w:val="false"/>
                <w:i w:val="false"/>
                <w:color w:val="000000"/>
                <w:sz w:val="20"/>
              </w:rPr>
              <w:t>
694</w:t>
            </w:r>
          </w:p>
          <w:bookmarkEnd w:id="23"/>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007</w:t>
            </w:r>
          </w:p>
          <w:bookmarkEnd w:id="24"/>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5"/>
          <w:p>
            <w:pPr>
              <w:spacing w:after="20"/>
              <w:ind w:left="20"/>
              <w:jc w:val="both"/>
            </w:pPr>
            <w:r>
              <w:rPr>
                <w:rFonts w:ascii="Times New Roman"/>
                <w:b w:val="false"/>
                <w:i w:val="false"/>
                <w:color w:val="000000"/>
                <w:sz w:val="20"/>
              </w:rPr>
              <w:t>
100</w:t>
            </w:r>
          </w:p>
          <w:bookmarkEnd w:id="25"/>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РБ</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7"/>
          <w:p>
            <w:pPr>
              <w:spacing w:after="20"/>
              <w:ind w:left="20"/>
              <w:jc w:val="both"/>
            </w:pPr>
            <w:r>
              <w:rPr>
                <w:rFonts w:ascii="Times New Roman"/>
                <w:b w:val="false"/>
                <w:i w:val="false"/>
                <w:color w:val="000000"/>
                <w:sz w:val="20"/>
              </w:rPr>
              <w:t>
10</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8"/>
          <w:p>
            <w:pPr>
              <w:spacing w:after="20"/>
              <w:ind w:left="20"/>
              <w:jc w:val="both"/>
            </w:pPr>
            <w:r>
              <w:rPr>
                <w:rFonts w:ascii="Times New Roman"/>
                <w:b w:val="false"/>
                <w:i w:val="false"/>
                <w:color w:val="000000"/>
                <w:sz w:val="20"/>
              </w:rPr>
              <w:t>
5</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9"/>
          <w:p>
            <w:pPr>
              <w:spacing w:after="20"/>
              <w:ind w:left="20"/>
              <w:jc w:val="both"/>
            </w:pPr>
            <w:r>
              <w:rPr>
                <w:rFonts w:ascii="Times New Roman"/>
                <w:b w:val="false"/>
                <w:i w:val="false"/>
                <w:color w:val="000000"/>
                <w:sz w:val="20"/>
              </w:rPr>
              <w:t>
694</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207</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0"/>
          <w:p>
            <w:pPr>
              <w:spacing w:after="20"/>
              <w:ind w:left="20"/>
              <w:jc w:val="both"/>
            </w:pPr>
            <w:r>
              <w:rPr>
                <w:rFonts w:ascii="Times New Roman"/>
                <w:b w:val="false"/>
                <w:i w:val="false"/>
                <w:color w:val="000000"/>
                <w:sz w:val="20"/>
              </w:rPr>
              <w:t>
007</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256</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1"/>
          <w:p>
            <w:pPr>
              <w:spacing w:after="20"/>
              <w:ind w:left="20"/>
              <w:jc w:val="both"/>
            </w:pPr>
            <w:r>
              <w:rPr>
                <w:rFonts w:ascii="Times New Roman"/>
                <w:b w:val="false"/>
                <w:i w:val="false"/>
                <w:color w:val="000000"/>
                <w:sz w:val="20"/>
              </w:rPr>
              <w:t>
100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2"/>
          <w:p>
            <w:pPr>
              <w:spacing w:after="20"/>
              <w:ind w:left="20"/>
              <w:jc w:val="both"/>
            </w:pPr>
            <w:r>
              <w:rPr>
                <w:rFonts w:ascii="Times New Roman"/>
                <w:b w:val="false"/>
                <w:i w:val="false"/>
                <w:color w:val="000000"/>
                <w:sz w:val="20"/>
              </w:rPr>
              <w:t>
РБ</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3"/>
          <w:p>
            <w:pPr>
              <w:spacing w:after="20"/>
              <w:ind w:left="20"/>
              <w:jc w:val="both"/>
            </w:pPr>
            <w:r>
              <w:rPr>
                <w:rFonts w:ascii="Times New Roman"/>
                <w:b w:val="false"/>
                <w:i w:val="false"/>
                <w:color w:val="000000"/>
                <w:sz w:val="20"/>
              </w:rPr>
              <w:t>
10</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4"/>
          <w:p>
            <w:pPr>
              <w:spacing w:after="20"/>
              <w:ind w:left="20"/>
              <w:jc w:val="both"/>
            </w:pPr>
            <w:r>
              <w:rPr>
                <w:rFonts w:ascii="Times New Roman"/>
                <w:b w:val="false"/>
                <w:i w:val="false"/>
                <w:color w:val="000000"/>
                <w:sz w:val="20"/>
              </w:rPr>
              <w:t>
5</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5"/>
          <w:p>
            <w:pPr>
              <w:spacing w:after="20"/>
              <w:ind w:left="20"/>
              <w:jc w:val="both"/>
            </w:pPr>
            <w:r>
              <w:rPr>
                <w:rFonts w:ascii="Times New Roman"/>
                <w:b w:val="false"/>
                <w:i w:val="false"/>
                <w:color w:val="000000"/>
                <w:sz w:val="20"/>
              </w:rPr>
              <w:t>
694</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207</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6"/>
          <w:p>
            <w:pPr>
              <w:spacing w:after="20"/>
              <w:ind w:left="20"/>
              <w:jc w:val="both"/>
            </w:pPr>
            <w:r>
              <w:rPr>
                <w:rFonts w:ascii="Times New Roman"/>
                <w:b w:val="false"/>
                <w:i w:val="false"/>
                <w:color w:val="000000"/>
                <w:sz w:val="20"/>
              </w:rPr>
              <w:t>
007</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256</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7"/>
          <w:p>
            <w:pPr>
              <w:spacing w:after="20"/>
              <w:ind w:left="20"/>
              <w:jc w:val="both"/>
            </w:pPr>
            <w:r>
              <w:rPr>
                <w:rFonts w:ascii="Times New Roman"/>
                <w:b w:val="false"/>
                <w:i w:val="false"/>
                <w:color w:val="000000"/>
                <w:sz w:val="20"/>
              </w:rPr>
              <w:t>
100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06" w:id="38"/>
    <w:p>
      <w:pPr>
        <w:spacing w:after="0"/>
        <w:ind w:left="0"/>
        <w:jc w:val="both"/>
      </w:pPr>
      <w:r>
        <w:rPr>
          <w:rFonts w:ascii="Times New Roman"/>
          <w:b w:val="false"/>
          <w:i w:val="false"/>
          <w:color w:val="000000"/>
          <w:sz w:val="28"/>
        </w:rPr>
        <w:t>
      ";</w:t>
      </w:r>
    </w:p>
    <w:bookmarkEnd w:id="38"/>
    <w:bookmarkStart w:name="z107" w:id="39"/>
    <w:p>
      <w:pPr>
        <w:spacing w:after="0"/>
        <w:ind w:left="0"/>
        <w:jc w:val="both"/>
      </w:pPr>
      <w:r>
        <w:rPr>
          <w:rFonts w:ascii="Times New Roman"/>
          <w:b w:val="false"/>
          <w:i w:val="false"/>
          <w:color w:val="000000"/>
          <w:sz w:val="28"/>
        </w:rPr>
        <w:t>
      "Мемлекеттiк мекемелер ұсынатын ауыл шаруашылығы өсімдіктерін сұрыптық сынау саласында көрсетілетін қызметтер" бөлімі мынадай редакцияда жазылсын:</w:t>
      </w:r>
    </w:p>
    <w:bookmarkEnd w:id="39"/>
    <w:bookmarkStart w:name="z108"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 ұсынатын ауыл шаруашылығы өсімдіктерін сұрыптық сынау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сынау нәтижесiнде алынған өнiмдердi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1"/>
          <w:p>
            <w:pPr>
              <w:spacing w:after="20"/>
              <w:ind w:left="20"/>
              <w:jc w:val="both"/>
            </w:pPr>
            <w:r>
              <w:rPr>
                <w:rFonts w:ascii="Times New Roman"/>
                <w:b w:val="false"/>
                <w:i w:val="false"/>
                <w:color w:val="000000"/>
                <w:sz w:val="20"/>
              </w:rPr>
              <w:t>
1) сұрыптық сынау станциялары мен учаскелерінде ауыл шаруашылығы жұмыстарын және зертханалық зерттеулер жүргізу;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 ауыл шаруашылығы техникасын, тракторларды, комбайндарды,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өсімдіктерін сұрыптық сынау саласында ғылыми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сұрыптық сынау саласында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техникалық персоналға, еңбекақы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 сондай-ақ отынның барлық түрлерін тиеу, түсіру, тасымалдау және сақтау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 де материалдарды (отырғызу материалы, тұқымдар, тыңайтқыштар, пестицидтер, техникалық ақпарат тасығыштар, почта маркалары, таңбаланған конверттер, бланк өнімдері, кіріс (шығыс) хат-хабарларды тіркеу журналдары, картридждер, тонерлер)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дәрілік заттарды, медициналық мақсаттағы бұйымдарды, дәрі қобдишаларын (автомобильдерге арналған дәрі қобдишаларын)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және монтаждау жұмыстары процесінде пайдаланылатын құрылыс материалдарын (рукан (рубероид), араластырғыштар, раковиналар, унитаздар, душ кабиналары, ванналар, есік блогы, терезе блогы, коннектор, кәбіл каналы, есіктер, есіктегі тұтқалар, есік жеткізгіш, ойма құлып, розеткалар, ажыратқыштар, линолеум, ковролан)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 қораптар, тұқымдарға арналған қаптар)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байланыстың барлық түрлерінің көрсетілетін қызметтеріне, оның ішінде интернет байланысы, коммуналдық көрсетілетін қызметтерге, үй-жайлар мен ғимараттарды жалға алу, топырақты агрохимиялық зерттеп-қарау және мелиорациялық іс-шаралар жүргізу бойынша, таразылық және мамандандырылған жабдықтарды тексеру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жазылым басылымдарын, ғылыми, әдістемелік және арнайы әдебиет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ғылыми, әдістемелік материалдар мен ресми бюллетеньдер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мамандар даярлау және олардың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шетелдік хат-хабарларды және ғылыми құжаттаманы аудару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ауыл шаруашылығы өсімдіктерінің перспективалы және бағалы сұрыптарын жарнамалау және насихаттау жөніндегі бұқаралық іс-шараларды (дала күндері, семинарлар, көрмелер, экскурсиялар, таныстырылымдар)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сұрыптық сынау саласындағы мемлекеттік мекеменің жұмыс істеуімен байланысты ғимараттарды, құрылысжайлар мен объектілерді ағымдағы жөндеу (жалпы құрылыс жұмыстары, гидрооқшаулау жұмыстары, электр сымдарын монтаждау және электр арматурасын орнату бойынша жұмыстар, электр байланысы жабдығын орнату бойынша электр монтаждау жұмыстары, ғимаратқа электр жабдығын орнату, жергілікті желі (электр) желілерін жүргізу, газдандыру,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 зертханалық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сылау, сырлау жұмыстарына, шыны жұмыстарына, үй-жайда арақабырғалар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жабдықтардағы, тракторлардағы, комбайндардағы,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 Республикасының еңбек заңнамасына сәйкес іссапар шығыстарын өтеу нормалары шегінде сұрыптық сынау саласындағы мемлекеттік мекеме қызметкерлерінің және техникалық персоналдың, Қазақстан Республикасының шегінде және одан тыс жерлерге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сұрыптық сынау саласындағы мемлекеттік мекеменің жұмыскерлерін еңбек көрсеткіштері үшін көтермелеу;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жобалау құжаттамасын (техникалық-экономикалық негіздеме)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сәйкестіндіру құжатын дайындау және беру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ауыл шаруашылығы жұмыстарын жүргізуге арналған көлік құралдарын жалдау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25) үй-жайларды, ғимараттарды, құрылысжайларды, беріліс құрылғыларын ресімдеу, сондай-ақ үй-жайлар, ғимараттар мен құрылысжайлар орналасқан жерді ресімдеу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 ауыл шаруашылығы өсімдіктерін сұрыптық сынау саласындағы нәтижелерді деректерін автоматты түрде өңдеуге офистік жабдықтарды, офистік техниканы, цифрлық жүйелер мен бағдарламалық қамтылымды, вирусқа қарсы бағдарламаны, арнайы бағдарламалық қамтылымды сатып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көлік құралдарын техникалық қарап-тексеру, иелерінің азаматтық-құқықтық жауапкершілігін міндетті сақтандыру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28) Webkassa 2.0 бағдарламалық қамтылымын орнату, оған қызмет көрсету бойынша көрсетілетін қызметтерге, бағдарламалық қамтылымды қолдау бойынша консультациялық қызмет көрсету, деректерді өңдеу, дерекқорлар құру, мемлекеттік сұрыптық сынау саласындағы веб-порталдарға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29) қатты тұрмыстық қалдықтарды шығару бойынша көрсетілетін қызметтерге, дезинфекциялау, дезинсекциялау, дератизациялау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31) электр энергиясын, суды, газды есепке алу аспаптарын мемлекеттік тексеруден өткізе және бағдарлама жасай отырып орнату үшін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баннерлер, бланкілер, қатты папкалар, алғыс хаттар, грамоталар, арнайы журналдар, мөртабандар, стендтер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34) өкілдік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35) жұмыс берушілердің міндетті зейнетақы жарналарын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36) аумақтық қазынашылық бөлімшесіне инкассалық өкім ұсынылғанға дейін мемлекеттік мекеменің атқарушылық құжатты ерікті түрде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кепілдік жарнаны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38) астықты сақтау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39) тіркеуші цифрлық жүйедегі клиенттің дербес шотына жылдық қызмет көрсеткені үшін абоненттік төлемақы төлеу;</w:t>
            </w:r>
          </w:p>
          <w:p>
            <w:pPr>
              <w:spacing w:after="20"/>
              <w:ind w:left="20"/>
              <w:jc w:val="both"/>
            </w:pPr>
            <w:r>
              <w:rPr>
                <w:rFonts w:ascii="Times New Roman"/>
                <w:b w:val="false"/>
                <w:i w:val="false"/>
                <w:color w:val="000000"/>
                <w:sz w:val="20"/>
              </w:rPr>
              <w:t>
40) аккредиттеу жөніндегі органның бағалау жүргізу бойынша жұмыстарының құнын төлеу. (112, 116, 121, 122, 123, 124, 131, 135, 136, 144, 149, 151, 152, 153, 156, 157, 158, 159, 161, 162, 165, 169, 412,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xml:space="preserve">, "Тұқым шаруашылығы туралы" Қазақстан Республикасы Заңының 23-4-бабы,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Ауыл шаруашылығы министрінің 2025 жылғы 29 сәуірдегі № 135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тізіліміне № 36050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48" w:id="42"/>
    <w:p>
      <w:pPr>
        <w:spacing w:after="0"/>
        <w:ind w:left="0"/>
        <w:jc w:val="both"/>
      </w:pPr>
      <w:r>
        <w:rPr>
          <w:rFonts w:ascii="Times New Roman"/>
          <w:b w:val="false"/>
          <w:i w:val="false"/>
          <w:color w:val="000000"/>
          <w:sz w:val="28"/>
        </w:rPr>
        <w:t>
      ";</w:t>
      </w:r>
    </w:p>
    <w:bookmarkEnd w:id="42"/>
    <w:bookmarkStart w:name="z149" w:id="43"/>
    <w:p>
      <w:pPr>
        <w:spacing w:after="0"/>
        <w:ind w:left="0"/>
        <w:jc w:val="both"/>
      </w:pPr>
      <w:r>
        <w:rPr>
          <w:rFonts w:ascii="Times New Roman"/>
          <w:b w:val="false"/>
          <w:i w:val="false"/>
          <w:color w:val="000000"/>
          <w:sz w:val="28"/>
        </w:rPr>
        <w:t>
      "Қазақстан Республикасы ұлттық қауіпсіздік органдарының әскери, арнаулы оқу орындары көрсететін қызметтер" бөлімі мынадай редакцияда жазылсын:</w:t>
      </w:r>
    </w:p>
    <w:bookmarkEnd w:id="43"/>
    <w:bookmarkStart w:name="z150"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5"/>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Шығыстарға мынадай шығындар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салық және бюджетке төленетін басқа да міндетті төлемдер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(111, 112, 113, 114, 116, 121, 122, 124, 131, 135, 136, 139, 144, 149, 153, 154, 156, 159, 161, 162, 169, 414, 416 және 419).</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 Шығыстарға мынадай шығындар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заңның </w:t>
            </w:r>
            <w:r>
              <w:rPr>
                <w:rFonts w:ascii="Times New Roman"/>
                <w:b w:val="false"/>
                <w:i w:val="false"/>
                <w:color w:val="000000"/>
                <w:sz w:val="20"/>
              </w:rPr>
              <w:t>63</w:t>
            </w:r>
            <w:r>
              <w:rPr>
                <w:rFonts w:ascii="Times New Roman"/>
                <w:b w:val="false"/>
                <w:i w:val="false"/>
                <w:color w:val="000000"/>
                <w:sz w:val="20"/>
              </w:rPr>
              <w:t xml:space="preserve">-бабының 3-тармағы,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6"/>
          <w:p>
            <w:pPr>
              <w:spacing w:after="20"/>
              <w:ind w:left="20"/>
              <w:jc w:val="both"/>
            </w:pPr>
            <w:r>
              <w:rPr>
                <w:rFonts w:ascii="Times New Roman"/>
                <w:b w:val="false"/>
                <w:i w:val="false"/>
                <w:color w:val="000000"/>
                <w:sz w:val="20"/>
              </w:rPr>
              <w:t>
1) шығыс материалдарын, жиһаздар, мүкәммалдар сатып алуға;</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оқу-материалдық базаны нығайтуға;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ғылыми және әдістемелік материалдарды басып шығаруға;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7) ұлттық қауіпсіздік органдары оқу орындарының қызметкерлері, әскери қызметшілері мен жұмыскерлерінің біліктілігін арттыруға және тағылымдамадан өтуге;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электрондық цифрлық ресурстарды немесе оларды пайдалану құқығын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11) үй-жайларды, жабдықтар мен техниканы жалға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кәдесый өнімдерін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19) қосымша білім беру бағдарламаларын өткізу шеңберінде кофе-брейктерді ұйымдастыру және өткізу қызметтеріне ақы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қосымша білім беру бағдарламалары шеңберінде ақылы білім беру қызметтерін көрсету үшін тартылатын мамандардың (оның ішінде ұлттық қауіпсіздік органдары оқу орындарының кадр құрамы қатарынан) қызметтеріне ақы төлеуге жұмсалады</w:t>
            </w:r>
          </w:p>
          <w:p>
            <w:pPr>
              <w:spacing w:after="20"/>
              <w:ind w:left="20"/>
              <w:jc w:val="both"/>
            </w:pPr>
            <w:r>
              <w:rPr>
                <w:rFonts w:ascii="Times New Roman"/>
                <w:b w:val="false"/>
                <w:i w:val="false"/>
                <w:color w:val="000000"/>
                <w:sz w:val="20"/>
              </w:rPr>
              <w:t>
(116, 131, 135, 136, 144, 149, 151, 152, 153, 154, 157, 158, 159, 161, 162, 169, 413,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95" w:id="47"/>
    <w:p>
      <w:pPr>
        <w:spacing w:after="0"/>
        <w:ind w:left="0"/>
        <w:jc w:val="both"/>
      </w:pPr>
      <w:r>
        <w:rPr>
          <w:rFonts w:ascii="Times New Roman"/>
          <w:b w:val="false"/>
          <w:i w:val="false"/>
          <w:color w:val="000000"/>
          <w:sz w:val="28"/>
        </w:rPr>
        <w:t>
      ";</w:t>
      </w:r>
    </w:p>
    <w:bookmarkEnd w:id="47"/>
    <w:bookmarkStart w:name="z196" w:id="48"/>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 бөлімі мынадай редакцияда жазылсын:</w:t>
      </w:r>
    </w:p>
    <w:bookmarkEnd w:id="48"/>
    <w:bookmarkStart w:name="z197"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0"/>
          <w:p>
            <w:pPr>
              <w:spacing w:after="20"/>
              <w:ind w:left="20"/>
              <w:jc w:val="both"/>
            </w:pPr>
            <w:r>
              <w:rPr>
                <w:rFonts w:ascii="Times New Roman"/>
                <w:b w:val="false"/>
                <w:i w:val="false"/>
                <w:color w:val="000000"/>
                <w:sz w:val="20"/>
              </w:rPr>
              <w:t>
1) клиникалық хаттамаларға және дәрілік заттар мен медициналық бұйымдардың тізбесіне, сәйкес ТМККК шеңберінде және (немесе) МӘМС жүйесінде тиісті жылға бірыңғай дистрибьютордан сатып алынатын дәрілік заттарды, медициналық бұйымдарды, шығыс материалдарын, сондай-ақ дәрі қобдишаларын, арнайы емдік өнімдерді сатып алу (қамтамасыз ету);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(бұдан әрі – № 128 Қаулы) сәйкес пациенттерді тамақтандыру және жұмсақ мүккәмалмен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кадрлардың біліктілігін арттыруға және оларды қайта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шығыстарды, оның ішінде Қазақстан Республикасының "Ақпараттандыру туралы" Заңының (бұдан әрі – Ақпараттандыру туралы заң) 1-бабының 44) тармақшасына сәйкес интернетті қоса алғанда байланыс қызметтері, іссапар шығыстары, ағымдағы жөндеу жұмыстарын жүргізу, үй-жайды жалға алу, цифрлық жүйелерге қызмет көрсетуді қоса алғанда, кеңсе және шаруашылық тауарларын, жанар-жағармай материалдарын, тауарлар мен қызметтерді сатып алу (қамтамасыз ету), медициналық техникаға сервистік қызмет көрсету, банк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министрінің 2020 жылғы 15 желтоқсандағы № ҚР ДСМ-278/2020 бұйрығымен (Нормативтік құқықтық актілерді мемлекеттік тіркеу тізілімінде № 21824 болып тіркелген) бекітілген ТМККК шеңберінде және (немесе) МӘМС жүйесінде медициналық қызметтер көрсететін денсаулық сақтау субъектілерінің қызметкерлерін көтермелеу қағидаларына сәйкес ішкі істер органдары мемлекеттік мекемелері қызметкерлеріне сараланған қосымша ақы белгілеуге арналған шығындар</w:t>
            </w:r>
          </w:p>
          <w:p>
            <w:pPr>
              <w:spacing w:after="20"/>
              <w:ind w:left="20"/>
              <w:jc w:val="both"/>
            </w:pPr>
            <w:r>
              <w:rPr>
                <w:rFonts w:ascii="Times New Roman"/>
                <w:b w:val="false"/>
                <w:i w:val="false"/>
                <w:color w:val="000000"/>
                <w:sz w:val="20"/>
              </w:rPr>
              <w:t>
(112, 114, 116, 121, 122, 124, 136, 141, 142, 144, 149, 151, 152, 153, 154, 158, 159, 161, 165,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 Заңының </w:t>
            </w:r>
            <w:r>
              <w:rPr>
                <w:rFonts w:ascii="Times New Roman"/>
                <w:b w:val="false"/>
                <w:i w:val="false"/>
                <w:color w:val="000000"/>
                <w:sz w:val="20"/>
              </w:rPr>
              <w:t>70-бабы</w:t>
            </w:r>
            <w:r>
              <w:rPr>
                <w:rFonts w:ascii="Times New Roman"/>
                <w:b w:val="false"/>
                <w:i w:val="false"/>
                <w:color w:val="000000"/>
                <w:sz w:val="20"/>
              </w:rPr>
              <w:t xml:space="preserve">,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2025 жылғы 29 мамырдағы № 393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тізіліміне № 36174 болып тіркелген).</w:t>
            </w:r>
          </w:p>
        </w:tc>
      </w:tr>
    </w:tbl>
    <w:bookmarkStart w:name="z204" w:id="51"/>
    <w:p>
      <w:pPr>
        <w:spacing w:after="0"/>
        <w:ind w:left="0"/>
        <w:jc w:val="both"/>
      </w:pPr>
      <w:r>
        <w:rPr>
          <w:rFonts w:ascii="Times New Roman"/>
          <w:b w:val="false"/>
          <w:i w:val="false"/>
          <w:color w:val="000000"/>
          <w:sz w:val="28"/>
        </w:rPr>
        <w:t>
      ";</w:t>
      </w:r>
    </w:p>
    <w:bookmarkEnd w:id="51"/>
    <w:bookmarkStart w:name="z205" w:id="52"/>
    <w:p>
      <w:pPr>
        <w:spacing w:after="0"/>
        <w:ind w:left="0"/>
        <w:jc w:val="both"/>
      </w:pPr>
      <w:r>
        <w:rPr>
          <w:rFonts w:ascii="Times New Roman"/>
          <w:b w:val="false"/>
          <w:i w:val="false"/>
          <w:color w:val="000000"/>
          <w:sz w:val="28"/>
        </w:rPr>
        <w:t>
      "Қарулы Күштердің мемлекеттік мекемелері ұсынатын әскери медицина саласында көрсетілетін қызметтер" бөлімі мынадай редакцияда жазылсын:</w:t>
      </w:r>
    </w:p>
    <w:bookmarkEnd w:id="52"/>
    <w:bookmarkStart w:name="z206"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әскери медицина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16 қазандағы № 672 қаулысымен бекітілген ТМККК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4"/>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ТМККК шеңберінде және (немесе)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 128 Қаулыға сәйкес пациентті тамақтанумен және жұмсақ мүкәммалмен жабдықтау; 14) ТМККК шеңберінде және МӘМС жүйесінде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медициналық цифрлы жүйесі көрсететін қызметке, медициналық техникаға сервистік қызмет көрсетуге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дәрігер мен орта медицина персоналдардың біліктілігін арттыру</w:t>
            </w:r>
          </w:p>
          <w:p>
            <w:pPr>
              <w:spacing w:after="20"/>
              <w:ind w:left="20"/>
              <w:jc w:val="both"/>
            </w:pPr>
            <w:r>
              <w:rPr>
                <w:rFonts w:ascii="Times New Roman"/>
                <w:b w:val="false"/>
                <w:i w:val="false"/>
                <w:color w:val="000000"/>
                <w:sz w:val="20"/>
              </w:rPr>
              <w:t>
(112, 116, 121, 122, 124, 141, 142, 144, 149, 151, 152, 158, 159, 161, 165, 169 және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қаулысымен бекітілген МӘМС жүйесіндегі медициналық көмек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тізіміне және (немесе) МӘМС жүйесіне енгізілмеген медициналық көмектің қосымша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және паразитологиялық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микроклиматты, шуды, дірілді, жарықтың берілуін өлшеу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талдауын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радиометриялық зерттеу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дератизациялық және дезинсекциялық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біліктілігін арттыру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шеберлік сыныптарын, конференциялар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дағдылары бойынша сертификатталған жаттықтырушылар мен нұсқаушылар курстарын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өнімдерді қоймада сақтауды жүзеге асыру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жөндеу мен техникалық (сервистік)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22" w:id="55"/>
    <w:p>
      <w:pPr>
        <w:spacing w:after="0"/>
        <w:ind w:left="0"/>
        <w:jc w:val="both"/>
      </w:pPr>
      <w:r>
        <w:rPr>
          <w:rFonts w:ascii="Times New Roman"/>
          <w:b w:val="false"/>
          <w:i w:val="false"/>
          <w:color w:val="000000"/>
          <w:sz w:val="28"/>
        </w:rPr>
        <w:t>
      ".</w:t>
      </w:r>
    </w:p>
    <w:bookmarkEnd w:id="55"/>
    <w:bookmarkStart w:name="z223" w:id="56"/>
    <w:p>
      <w:pPr>
        <w:spacing w:after="0"/>
        <w:ind w:left="0"/>
        <w:jc w:val="both"/>
      </w:pPr>
      <w:r>
        <w:rPr>
          <w:rFonts w:ascii="Times New Roman"/>
          <w:b w:val="false"/>
          <w:i w:val="false"/>
          <w:color w:val="000000"/>
          <w:sz w:val="28"/>
        </w:rPr>
        <w:t>
      2. Қазақстан Республикасы Қаржы министрлігінің Бюджеттік процесс әдіснамасы департаменті Қазақстан Республикасының заңнамасында белгіленген тәртіппен:</w:t>
      </w:r>
    </w:p>
    <w:bookmarkEnd w:id="56"/>
    <w:bookmarkStart w:name="z224" w:id="57"/>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7"/>
    <w:bookmarkStart w:name="z225" w:id="58"/>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Қаржы министрлігінің интернет-ресурсына орналастырылуын қамтамасыз етсін.</w:t>
      </w:r>
    </w:p>
    <w:bookmarkEnd w:id="58"/>
    <w:bookmarkStart w:name="z226" w:id="5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енгізілетін 1-тармақтың бесінші абзацын қоспағанда, 2026 жылдың 12 шілдесінен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