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3ed5" w14:textId="126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Қабанбай батыр ауылдық округі Қызылжар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Қабанбай батыр ауылдық округі әкімінің 2025 жылғы 21 қарашадағы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әкімшілік-аумақтық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2025 жылғы 14 тамыздағы қорытындысы негізінде, Целиноград ауданы Қабанбай батыр ауылдық округінің әкімі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Қабанбай батыр ауылдық округінің Қызылжар ауылының құрамдас бөліктеріне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5 көшесіне Сағынтай Қалиманов көшесі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7 көшесіне Біләл Мұқашев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Г.Шакенбаева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