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cf64" w14:textId="dd6c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8 қазандағы № А-10/342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тізбесі мен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орындалуға тиіс ұйымдардың тізбесі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"Степногорск қаласының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айқындалатын тәртіппен әкімшілік жазаға тартылған адамдардың қоғамдық жұмыстарды орындауын ұйымдастыру жөнінде шаралар қабылдансын.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"Қоғамдық жұмыстардың түрлерін және қоғамдық жұмыстар атқарылуы тиіс ұйымдардың тізбесін бекіту туралы" Степногорск қаласы әкімдігінің 2025 жылғы 17 қыркүйектегі № А-9/307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– 10/342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тізбесі мен түрлері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абаттандыру: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көшелерді, аулаларды, саябақтарды, скверлерді, алаңдарды, спорт және балалар алаңдарын, автобус аялдамаларын жинау;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қардан, мұздан, жапырақтардан тазарту;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тәждеу, көшелер мен қоғамдық кеңістіктерді көгалдандыру.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объектілерін жөндеу және оларға қызмет көрсету жөніндегі жұмыстар: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қоршауларды, балалар мен спорт алаңдарын, орындықтарды және басқа да шағын сәулет нысандарын ұсақ жөндеу және сырлау.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жұмыстар: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өзендер мен су айдындарының жағалауларын тазарту;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қорғау акцияларына қатысу (ағаштардың, бұталардың, гүл көшеттерінің көшеттерін көгалдандыру, отырғызу және арамшөптерден тазарту);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орман-саябақ және табиғатты қорғау аймақтарында қоқыс жинау.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объектілеріндегі жұмыстар: кіреберістерді, жертөлелерді, шатырларды тазалау және ұсақ жөндеу; тұрғын үй қорын және үй маңындағы аумақтарды бояу және қалпына келтіру;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қызметтердің жұмысына көмек.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мекемелерде, қала ұйымдарында және кәсіпорындарда қосалқы жұмыстар.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жергілікті атқарушы орган айқындайтын және арнайы кәсіптік даярлауды талап етпейтін қоғамдық жұмыстардың өзге де түрлері.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– 10/342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орындалуға тиісті ұйымдардың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"ARB-СпецМонтаж"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тұрғын үй-коммуналдық шаруашылығы, жолаушылар көлігі, автомобиль жолдары және тұрғын үй инспекциясы бөлімі" мемлекеттік мекемесі жанындағы "Степногорск-су арнасы" шаруашылық жүргізу құқығындағы мемлекеттік коммуналдық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