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163f" w14:textId="ed41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"АХ-СУЛ"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Әйет ауылдық округі әкімінің 2024 жылғы 2 желтоқсандағы № 8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2020 жылғы 6 тамыздағы № 729-EL қатты пайдалы қазбаларды барлауға арналған лицензия негізінде, Әйет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"АХ-СУЛ" жауапкершілігі шектеулі серіктестігіне, Әйет ауылдық округінің Әйет ауылы аумағында орналасқан, жалпы аланы 89,9452 гектар жер учаскесінде қатты пайдалы қазбаларды барлау жөніндегі операцияларды жүргізу мақсатында 2026 жылғы 6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"АХ-СУЛ" жауапкершілігі шектеулі серіктестігіне жер учаскелерін нысаналы мақсаты бойынша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"Әйет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шешім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Әйет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Скубилова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