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72274" w14:textId="a8722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қаласында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қаласының әкімінің 2024 жылғы 1 сәуірдегі № 5 шешімі. Күші жойылды - Қарағанды облысы Теміртау қаласының әкімінің 2024 жылғы 29 қарашадағы № 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Теміртау қаласының әкімінің 29.11.2024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 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Төтенше жағдайлар жөніндегі министрінің міндетін атқарушысының 2023 жылғы 10 мамырдағы №240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, 2024 жылғы 30 наурыздағы Төтенше жағдайлардың алдын алу және жою жөніндегі қалалық комиссия отырысының хаттамасына сәйкес, Теміртау қаласының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облысының Теміртау қаласында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 басшысы болып Теміртау қаласы әкімінің орынбасары Ринат Қуатұлы Қыдырбеков тағайындалсын.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Теміртау қаласы әкімінің орынбасары - төтенше жағдайды жою басшысы Ринат Қуатұлы Қыдырбеков осы шешімнен туындайтын тиісті іс-шараларды жүргізсін.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орындалысын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қолданысқа енгізіледі және 2024 жылғы 29 наурыздан бастап туындаған құқықтық қатынастарға қолданылады.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