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85ab" w14:textId="3ca8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2023 жылғы 21 қарашадағы № 6/11 шешімі. Күші жойылды - Павлодар облысы Баянауыл ауданы әкімінің 2024 жылғы 2 қазандағы № 9/10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әкімінің 02.10.2024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Ішкі істер министрінің 2015 жылғы 3 наурыздағы № 175 "Табиғи және техногендік сипаттағы төтенше жағдайларды мемлекеттік есепке алуды жүзеге асыру қағидаларын бекіту туралы" бұйрығының 2 бөлігі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Баянауыл ауданының төтенше жағдайлардың алдын алу және жою жөніндегі аудандық комиссиясының 2023 жылғы 19 қарашадағы кезектен тыс жедел отырысының хаттамасына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Баянауыл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Баянауыл ауданы әкімінің орынбасары Еркин Темирболатович Арыстанбеков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Баянауыл ауданының экономика және қаржы бөлімі табиғи сипаттағы төтенше жағдайды жоюға бағытталған іс-шараларды жүргізу үшін қаржы қарастырсын.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