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6c46" w14:textId="c5b6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28 желтоқсандағы № 25/322-VII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7-бабы</w:t>
      </w:r>
      <w:r>
        <w:rPr>
          <w:rFonts w:ascii="Times New Roman"/>
          <w:b w:val="false"/>
          <w:i w:val="false"/>
          <w:color w:val="000000"/>
          <w:sz w:val="28"/>
        </w:rPr>
        <w:t xml:space="preserve"> 3-тармағының 4) тармақшасына,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Үкiметiнiң 2009 жылғы 18 ақпандағы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айқындау туралы"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 ШЕШТI:</w:t>
      </w:r>
    </w:p>
    <w:bookmarkEnd w:id="0"/>
    <w:bookmarkStart w:name="z6" w:id="1"/>
    <w:p>
      <w:pPr>
        <w:spacing w:after="0"/>
        <w:ind w:left="0"/>
        <w:jc w:val="both"/>
      </w:pPr>
      <w:r>
        <w:rPr>
          <w:rFonts w:ascii="Times New Roman"/>
          <w:b w:val="false"/>
          <w:i w:val="false"/>
          <w:color w:val="000000"/>
          <w:sz w:val="28"/>
        </w:rPr>
        <w:t xml:space="preserve">
      1. 2023 жылы Катонқарағай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 </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ұсынылсын.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