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2ac7" w14:textId="3c62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Жітіқара ауданы бойынша коммуналдық қалдықтардың түзілу және жинақталу нормаларын есептеудің қағидаларын бекіту туралы" Жітіқара ауданы әкімдігінің 2021 жылғы 30 қарашадағы № 275 қаулысына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2022 жылғы 22 қыркүйектегі № 225 қаулысы</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Жітіқара ауданы бойынша коммуналдық қалдықтардың түзілу және жинақталу нормаларын есептеудің қағидаларын бекіту туралы" Жітіқара ауданы әкімдігінің 2021 жылғы 30 қарашадағы № 275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Қостанай облысының Жітіқара ауданы бойынша коммуналдық қалдықтардың түзілу және жинақталу нормаларын есептеудің қағидаларының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әкімдігінің тұрғын үй – 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 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