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4877" w14:textId="0e14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"Бейбiт уақытқа арналған Қазақстан Республикасының Қарулы Күштерiн азық-түлiкпен, азықпен, жабдықпен, асханалық-асүйлік ыдыспен және азық-түлік қызметінің техникасымен жабдықтау нормаларын бекіту туралы" Қазақстан Республикасы Қорғаныс министрінің 2015 жылғы 18 маусымдағы № 353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12 сәуірдегі № 192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уақытқа арналған Қазақстан Республикасының Қарулы Күштерін азық-түлікпен, азықпен, жабдықпен, асханалық-асүйлік ыдыспен және азық-түлік қызметінің техникасымен жабдықтау нормаларын бекіту туралы" Қазақстан Республикасы Қорғаныс министрінің 2015 жылғы 18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11844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Бейбiт уақытқа арналған Қазақстан Республикасының Қарулы Күштерiн азық-түлiкпен, азықпен, жабдықпен, асханалық-асүйлік ыдыспен және азық-түлік қызметінің техникасымен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"Аэроұтқыр әскерлерiне арналған азық үлесі" деген </w:t>
      </w:r>
      <w:r>
        <w:rPr>
          <w:rFonts w:ascii="Times New Roman"/>
          <w:b w:val="false"/>
          <w:i w:val="false"/>
          <w:color w:val="000000"/>
          <w:sz w:val="28"/>
        </w:rPr>
        <w:t>5-нормада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"5-норма Десанттық-шабуылдау әскерлерiне арналған азық үлесі";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"Жас ұлан" республикалық мектебi 9-11-сыныптарының оқушыларына арналған азық үлесі" деген </w:t>
      </w:r>
      <w:r>
        <w:rPr>
          <w:rFonts w:ascii="Times New Roman"/>
          <w:b w:val="false"/>
          <w:i w:val="false"/>
          <w:color w:val="000000"/>
          <w:sz w:val="28"/>
        </w:rPr>
        <w:t>8-нормада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"8-норма "Жас ұлан" республикалық мектебi 9-11-сыныбы оқушыларына және әскери оқу орны ұландарына арналған азық үлесі";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 бойынша мемлекет есебінен "Жас ұлан" республикалық мектебінің оқушылары және әскери оқу орнының ұландары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"Жас ұлан" республикалық мектебінің оқушылары және әскери оқу орнының ұландары әскери бөлімде практикадан өту кезеңінде осы әскери бөлімнің мерзімді қызмет әскери қызметшілері үшін көзделген нормалар бойынша азық-түлікпен қамтамасыз 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әскери мектеп-интернатының тәрбиеленушілерiне арналған азық үлесі" деген </w:t>
      </w:r>
      <w:r>
        <w:rPr>
          <w:rFonts w:ascii="Times New Roman"/>
          <w:b w:val="false"/>
          <w:i w:val="false"/>
          <w:color w:val="000000"/>
          <w:sz w:val="28"/>
        </w:rPr>
        <w:t>16-нормада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"16-норма Әскери оқу орнының кадеттеріне арналған азық үлесі";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 бойынша мемлекет есебінен әскери оқу орнында білім алатын әскери қызметшілер (кадеттер) мен оқуға түсу емтихандарын тапсыруға келген және казармалық жағдайда тұратын кандидаттар келген күннен бастап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оқу орнында білім алатын әскери қызметшілер (кадеттер) әскери бөлімде және корабльде практикадан өту кезеңінде осы әскери бөлімнің мерзімді қызмет әскери қызметшілері үшін көзделген нормалар бойынша азық-түлікпен қамтамасыз 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"Жалпыәскери жеке тамақтандыру рационы" деген </w:t>
      </w:r>
      <w:r>
        <w:rPr>
          <w:rFonts w:ascii="Times New Roman"/>
          <w:b w:val="false"/>
          <w:i w:val="false"/>
          <w:color w:val="000000"/>
          <w:sz w:val="28"/>
        </w:rPr>
        <w:t>17-нормаға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 бойынша мемлекет есебінен мыналар жабдықталады: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қызметшілер – жол жүргенде, далалық жағдайда, оқу-жаттығуда, маневр жасауда, полигонда, өз әскери бөлімінен жеке орналасқан бөлімшеде, зілзала және апат ауданында, төтенше жағдайда, қарулы жанжал кезінде, бітімгершілік операцияда;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және арнайы жүкті (әскери эшелонды) күзету, қорғау және олармен бірге жүру үшін қарауыл (команда) құрамына тағайындалған әскери қызметшілер – оларды жеткізу кезінде және осы жүкті қабылдау орнына барған және оларды тапсырғаннан кейін кері қайтқан жолда;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қызмет әскери қызметшілері мен әскери оқу орнының (әскери факультеттің) курсанттары – олар демалысқа, іссапарға, жаңа қызмет орнына, запасқа шығарылғандар тұрғылықты жеріне дейін жол жүргенде;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мерзімді әскери қызметке шақырылған азаматтар, жиынға (тағылымдамаға) шақырылған әскери міндеттілер мен әскери даярлықтан өтетін студенттер – жергілікті әскери басқару органынан әскери қызмет өткеру, жиыннан (тағылымдамадан) өтетін жеріне бару туралы тиісті бастықтың бұйрығы шыққан күннен бастап;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әскери оқу орнына оқуға түсу үшін әскери жиынға жіберілетін мерзімді қызмет әскери қызметшілері, сондай-ақ әскерге шақырушылар оқуға қабылданғанға дейін және қабылдаудан бас тартқан жағдайда әскери оқу орнынан тұрғылықты жеріне жеткенге дейін жол жүру үшін қажетті кезеңде;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 – жаңарту жоспарына сәйкес айқындалған кезеңде негізгі азық үлесінің азық-түлігінен ыстық тағаммен алмастыра отырып, стационарлық жағдайда (асханада, тамақтану орнында).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рацион бойынша үздіксіз тамақтандыру жеті тәуліктен аспауға тиіс.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Жауынгерлік және оларға теңестірілген іс-қимыл (шекаралық операцияны, іздеу, қатер төнетін бағытта Мемлекеттік шекараның күзетін күшейтуге күштерді тарту, жауынгерлік кезекшілік атқару) кезінде үш тәуліктен асатын мерзімге тұрақты орналасқан жерінен кеткен жағдайда шағын командалар үшін қосымша 1 жиынтық портативті қыздырғышпен, 1 дана консервіні және қорапты ашқышпен, 6 дана желде, суда сөнбейтін сіріңкемен, 3 дана қағаз майлықпен, 6 дана суды зарарсыздандыруға арналған құралмен, 3 дана пластмассадан жасалған қасықпен жабдықталады.";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"Аэроұтқыр әскерлеріне арналған жеке тамақтандыру рационы" деген </w:t>
      </w:r>
      <w:r>
        <w:rPr>
          <w:rFonts w:ascii="Times New Roman"/>
          <w:b w:val="false"/>
          <w:i w:val="false"/>
          <w:color w:val="000000"/>
          <w:sz w:val="28"/>
        </w:rPr>
        <w:t>18-норма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"18-норма Десанттық-шабуылдау әскерiне арналған жеке тамақтандыру рационы";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 бойынша мемлекет есебінен мыналар жабдықталады: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5-норма бойынша жабдықталатын әскери қызметшілер – жол жүргенде, далалық жағдайда, оқу-жаттығуда, маневр жасауда, полигонда, өз әскери бөлімінен жеке орналасқан бөлімшеде, зілзала және апат ауданында, төтенше жағдайда, қарулы жанжал кезінде, бітімгершілік операцияда;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десанттық және барлау бөлімшелерінің, теңіз жаяу әскері, арнайы мақсаттағы бөлiмшелердің мерзімді қызмет әскери қызметшілері – жол жүргенде;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4-норма бойынша тегін тамақтанумен қамтамасыз етілуге құқығы бар әскери қызметшілер, 1500 метр және одан жоғары биіктікте орналасқан әскери бөлімдер мен бөлімшелерде тағылымдамадан (практикадан) өтетін курсанттар, сондай-ақ осы бөлімдерге, бөлімшелерге іссапарға келген әскери қызметшілер – негізгі үлес азық-түлігінен ыстық тамақ дайындау мүмкін болмағанда;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әскери қызметшілер – жаңарту жоспарына сәйкес айқындалған кезеңде негізгі азық үлесінің азық-түлігінен ыстық тағаммен алмастыра отырып, стационарлық жағдайда (асханада, тамақтану орнында).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рацион бойынша үзбей тамақтандыру жеті тәуліктен аспауға тиіс.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Жауынгерлiк және оларға теңестірілген іс-қимыл (шекаралық операцияны, iздеу, қатер төнетін бағытта Мемлекеттiк шекараның күзетiн күшейтуге күштердi тарту, жауынгерлiк кезекшілік атқару) кезінде үш тәулiктен асатын мерзімге тұрақты орналасқан жерiнен кеткен жағдайда шағын командалар үшін қосымша 1 жиынтық портативті қыздырғышпен, 1 дана консервіні және қорапты ашқышпен, 6 дана желде, суда сөнбейтін сіріңкемен, 3 дана қағаз майлықпен, 6 дана суды зарарсыздандыруға арналған құралмен, 3 дана пластмассадан жасалған қасықпен жабдықталады.".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2016 жылғы 25 шілдедегі № 439 қаулысымен бекітілген 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 жүргізу қағидалары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осы бұйрықты Қазақстан Республикасы нормативтік құқықтық актілерінің эталондық бақылау банкіне орналастыру үшін Қазақстан Республикасы Әділет министрлігінің "Заңнама және құқықтық ақпарат институты" шаруашылық жүргізу құқығындағы республикалық мемлекеттік кәсіпорнына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деректемелер Қазақстан Республикасы нормативтік құқықтық актілерінің эталондық бақылау банкінде орналастырылған күннен бастап күнтізбелік бес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сәттен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Қорғаныс министрі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20__жылғы "_____"_____________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