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59d7" w14:textId="e775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іс жүргізу жөніндегі ережені бекіту туралы" Қазақстан Республикасы Әділет министрінің 2012 жылғы 31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28 қыркүйектегі № 813 бұйрығы. Қазақстан Республикасының Әділет министрлігінде 2022 жылғы 30 қыркүйекте № 29941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"Нотариаттық іс жүргізу жөніндегі ережені бекіту туралы" Қазақстан Республикасы Әділет министрінің 2012 жылғы 31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Нотариаттық іс жүргізу жөніндегі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"81. Аяқталған мұрагерлік істі сақтауға дайындаған кезде құжаттар осы Ереженің </w:t>
      </w:r>
      <w:r>
        <w:rPr>
          <w:rFonts w:ascii="Times New Roman"/>
          <w:b w:val="false"/>
          <w:i w:val="false"/>
          <w:color w:val="000000"/>
          <w:sz w:val="28"/>
        </w:rPr>
        <w:t>35-тармағына</w:t>
      </w:r>
      <w:r>
        <w:rPr>
          <w:rFonts w:ascii="Times New Roman"/>
          <w:b w:val="false"/>
          <w:i w:val="false"/>
          <w:color w:val="000000"/>
          <w:sz w:val="28"/>
        </w:rPr>
        <w:t xml:space="preserve"> сәйкес мынадай тәртіппен:</w:t>
      </w:r>
    </w:p>
    <w:bookmarkEnd w:id="3"/>
    <w:bookmarkStart w:name="z6" w:id="4"/>
    <w:p>
      <w:pPr>
        <w:spacing w:after="0"/>
        <w:ind w:left="0"/>
        <w:jc w:val="both"/>
      </w:pPr>
      <w:r>
        <w:rPr>
          <w:rFonts w:ascii="Times New Roman"/>
          <w:b w:val="false"/>
          <w:i w:val="false"/>
          <w:color w:val="000000"/>
          <w:sz w:val="28"/>
        </w:rPr>
        <w:t>
      мұраға құқығы туралы куәлік;</w:t>
      </w:r>
    </w:p>
    <w:bookmarkEnd w:id="4"/>
    <w:bookmarkStart w:name="z7" w:id="5"/>
    <w:p>
      <w:pPr>
        <w:spacing w:after="0"/>
        <w:ind w:left="0"/>
        <w:jc w:val="both"/>
      </w:pPr>
      <w:r>
        <w:rPr>
          <w:rFonts w:ascii="Times New Roman"/>
          <w:b w:val="false"/>
          <w:i w:val="false"/>
          <w:color w:val="000000"/>
          <w:sz w:val="28"/>
        </w:rPr>
        <w:t>
      мұраны қабылдау туралы, мұраға құқығы туралы куәлікті беру туралы немесе мұрадан бас тарту туралы өтініштер;</w:t>
      </w:r>
    </w:p>
    <w:bookmarkEnd w:id="5"/>
    <w:bookmarkStart w:name="z8" w:id="6"/>
    <w:p>
      <w:pPr>
        <w:spacing w:after="0"/>
        <w:ind w:left="0"/>
        <w:jc w:val="both"/>
      </w:pPr>
      <w:r>
        <w:rPr>
          <w:rFonts w:ascii="Times New Roman"/>
          <w:b w:val="false"/>
          <w:i w:val="false"/>
          <w:color w:val="000000"/>
          <w:sz w:val="28"/>
        </w:rPr>
        <w:t>
      БНАЖ арқылы "АХАЖ тіркеу пункті" ақпараттық жүйесінде алынған қайтыс болуды мемлекеттік тіркеу туралы мәліметтер ("АХАЖ тіркеу пункті" ақпараттық жүйесінде қайтыс болу туралы мәліметтер болмағанда немесе Қазақстан Республикасынан тыс жерде қайтыс болу жағдайында қайтыс болу туралы куәліктің немесе хабарламаның, анықтаманың, не акт жазбасының көшірмесі);</w:t>
      </w:r>
    </w:p>
    <w:bookmarkEnd w:id="6"/>
    <w:bookmarkStart w:name="z9" w:id="7"/>
    <w:p>
      <w:pPr>
        <w:spacing w:after="0"/>
        <w:ind w:left="0"/>
        <w:jc w:val="both"/>
      </w:pPr>
      <w:r>
        <w:rPr>
          <w:rFonts w:ascii="Times New Roman"/>
          <w:b w:val="false"/>
          <w:i w:val="false"/>
          <w:color w:val="000000"/>
          <w:sz w:val="28"/>
        </w:rPr>
        <w:t>
      БНАЖ арқылы "Жеке тұлғалар" мемлекеттік деректер қорынан мұра берушінің тіркелген орны туралы мәліметтер;</w:t>
      </w:r>
    </w:p>
    <w:bookmarkEnd w:id="7"/>
    <w:bookmarkStart w:name="z10" w:id="8"/>
    <w:p>
      <w:pPr>
        <w:spacing w:after="0"/>
        <w:ind w:left="0"/>
        <w:jc w:val="both"/>
      </w:pPr>
      <w:r>
        <w:rPr>
          <w:rFonts w:ascii="Times New Roman"/>
          <w:b w:val="false"/>
          <w:i w:val="false"/>
          <w:color w:val="000000"/>
          <w:sz w:val="28"/>
        </w:rPr>
        <w:t>
      мұрагерлердің мұра берушімен туысқандық қатынастарын растайтын құжаттардың көшірмелері, мұраға негіздеме (өсиет, туысқандық деңгейі туралы, бала асырап алу туралы, мұра берушінің асырауында тұрғаны туралы құжаттар);</w:t>
      </w:r>
    </w:p>
    <w:bookmarkEnd w:id="8"/>
    <w:bookmarkStart w:name="z11" w:id="9"/>
    <w:p>
      <w:pPr>
        <w:spacing w:after="0"/>
        <w:ind w:left="0"/>
        <w:jc w:val="both"/>
      </w:pPr>
      <w:r>
        <w:rPr>
          <w:rFonts w:ascii="Times New Roman"/>
          <w:b w:val="false"/>
          <w:i w:val="false"/>
          <w:color w:val="000000"/>
          <w:sz w:val="28"/>
        </w:rPr>
        <w:t>
      мұрагерлердің шеңберін анықтау үшін жасалған нотариустың сұрау салулары және оларға жауаптар;</w:t>
      </w:r>
    </w:p>
    <w:bookmarkEnd w:id="9"/>
    <w:bookmarkStart w:name="z12" w:id="10"/>
    <w:p>
      <w:pPr>
        <w:spacing w:after="0"/>
        <w:ind w:left="0"/>
        <w:jc w:val="both"/>
      </w:pPr>
      <w:r>
        <w:rPr>
          <w:rFonts w:ascii="Times New Roman"/>
          <w:b w:val="false"/>
          <w:i w:val="false"/>
          <w:color w:val="000000"/>
          <w:sz w:val="28"/>
        </w:rPr>
        <w:t>
      БНАЖ-да мұрагерлік істің бар / жоқ екендігі туралы анықтама;</w:t>
      </w:r>
    </w:p>
    <w:bookmarkEnd w:id="10"/>
    <w:bookmarkStart w:name="z13" w:id="11"/>
    <w:p>
      <w:pPr>
        <w:spacing w:after="0"/>
        <w:ind w:left="0"/>
        <w:jc w:val="both"/>
      </w:pPr>
      <w:r>
        <w:rPr>
          <w:rFonts w:ascii="Times New Roman"/>
          <w:b w:val="false"/>
          <w:i w:val="false"/>
          <w:color w:val="000000"/>
          <w:sz w:val="28"/>
        </w:rPr>
        <w:t>
      мұраның мұра берушіге тиістілігін растайтын құжаттары (құқығын белгілеуші құжаттары);</w:t>
      </w:r>
    </w:p>
    <w:bookmarkEnd w:id="11"/>
    <w:bookmarkStart w:name="z14" w:id="12"/>
    <w:p>
      <w:pPr>
        <w:spacing w:after="0"/>
        <w:ind w:left="0"/>
        <w:jc w:val="both"/>
      </w:pPr>
      <w:r>
        <w:rPr>
          <w:rFonts w:ascii="Times New Roman"/>
          <w:b w:val="false"/>
          <w:i w:val="false"/>
          <w:color w:val="000000"/>
          <w:sz w:val="28"/>
        </w:rPr>
        <w:t>
      мұрагерлік іске қоса берілген құжаттар тігіледі.";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"85. Құпия өсиеті бар конвертті ашу жөніндегі іс жүргізуді бастау үшін өсиет қалдырушының қайтыс болуы туралы куәлікті немесе хабарламаны, сондай-ақ құпия өсиеті бар конвертті, ол өсиет қалдырушыда немесе өсиетті орындаушыда (өсиет алушы адамда) сақталған жағдайда, құпия өсиетті ашу және жария ету туралы өтінішті оның құпия өсиетін куәландырған немесе ол сақталатын нотариустың алуы негіз болып табылады.";</w:t>
      </w:r>
    </w:p>
    <w:bookmarkEnd w:id="13"/>
    <w:bookmarkStart w:name="z17" w:id="1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16-қосымшасы</w:t>
      </w:r>
      <w:r>
        <w:rPr>
          <w:rFonts w:ascii="Times New Roman"/>
          <w:b w:val="false"/>
          <w:i w:val="false"/>
          <w:color w:val="000000"/>
          <w:sz w:val="28"/>
        </w:rPr>
        <w:t xml:space="preserve"> осы бұйрыққа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28 қыркүйектегі</w:t>
            </w:r>
            <w:r>
              <w:br/>
            </w:r>
            <w:r>
              <w:rPr>
                <w:rFonts w:ascii="Times New Roman"/>
                <w:b w:val="false"/>
                <w:i w:val="false"/>
                <w:color w:val="000000"/>
                <w:sz w:val="20"/>
              </w:rPr>
              <w:t>№ 813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іс жүргізу</w:t>
            </w:r>
            <w:r>
              <w:br/>
            </w:r>
            <w:r>
              <w:rPr>
                <w:rFonts w:ascii="Times New Roman"/>
                <w:b w:val="false"/>
                <w:i w:val="false"/>
                <w:color w:val="000000"/>
                <w:sz w:val="20"/>
              </w:rPr>
              <w:t>жөніндегі ережеге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8"/>
    <w:p>
      <w:pPr>
        <w:spacing w:after="0"/>
        <w:ind w:left="0"/>
        <w:jc w:val="left"/>
      </w:pPr>
      <w:r>
        <w:rPr>
          <w:rFonts w:ascii="Times New Roman"/>
          <w:b/>
          <w:i w:val="false"/>
          <w:color w:val="000000"/>
        </w:rPr>
        <w:t xml:space="preserve"> Құпия өсиетті ашу туралы хабарлама</w:t>
      </w:r>
    </w:p>
    <w:bookmarkEnd w:id="18"/>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 нотариаттық</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 орган</w:t>
      </w:r>
    </w:p>
    <w:p>
      <w:pPr>
        <w:spacing w:after="0"/>
        <w:ind w:left="0"/>
        <w:jc w:val="both"/>
      </w:pPr>
      <w:r>
        <w:rPr>
          <w:rFonts w:ascii="Times New Roman"/>
          <w:b w:val="false"/>
          <w:i w:val="false"/>
          <w:color w:val="000000"/>
          <w:sz w:val="28"/>
        </w:rPr>
        <w:t>
      және нөмірі, берілген күні,)</w:t>
      </w:r>
    </w:p>
    <w:p>
      <w:pPr>
        <w:spacing w:after="0"/>
        <w:ind w:left="0"/>
        <w:jc w:val="both"/>
      </w:pPr>
      <w:r>
        <w:rPr>
          <w:rFonts w:ascii="Times New Roman"/>
          <w:b w:val="false"/>
          <w:i w:val="false"/>
          <w:color w:val="000000"/>
          <w:sz w:val="28"/>
        </w:rPr>
        <w:t>
      нотариусы Сізге 20___ жылдың "___"__________________ құпия өсиет жасаған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әкесінің аты (бар болған жағдайда) көрсетіледі) қайтыс болу туралы куәлігі/хабарлама ұсынылғанын хабарлаймын.</w:t>
      </w:r>
    </w:p>
    <w:p>
      <w:pPr>
        <w:spacing w:after="0"/>
        <w:ind w:left="0"/>
        <w:jc w:val="both"/>
      </w:pPr>
      <w:r>
        <w:rPr>
          <w:rFonts w:ascii="Times New Roman"/>
          <w:b w:val="false"/>
          <w:i w:val="false"/>
          <w:color w:val="000000"/>
          <w:sz w:val="28"/>
        </w:rPr>
        <w:t xml:space="preserve">
      Қазақстан Республикасы Азаматтық кодексінің 1051-бабының </w:t>
      </w:r>
      <w:r>
        <w:rPr>
          <w:rFonts w:ascii="Times New Roman"/>
          <w:b w:val="false"/>
          <w:i w:val="false"/>
          <w:color w:val="000000"/>
          <w:sz w:val="28"/>
        </w:rPr>
        <w:t>4-1-тармағына</w:t>
      </w:r>
      <w:r>
        <w:rPr>
          <w:rFonts w:ascii="Times New Roman"/>
          <w:b w:val="false"/>
          <w:i w:val="false"/>
          <w:color w:val="000000"/>
          <w:sz w:val="28"/>
        </w:rPr>
        <w:t xml:space="preserve"> сәйкес құпия өсиет жасаған адамның қайтыс болуы туралы куәлік немесе хабарлама ұсынылған кезде нотариус қайтыс болу туралы куәлік немесе хабарлама ұсынылған күннен бастап он күннен кешіктірмей өсиеті бар конвертті ашады.</w:t>
      </w:r>
    </w:p>
    <w:p>
      <w:pPr>
        <w:spacing w:after="0"/>
        <w:ind w:left="0"/>
        <w:jc w:val="both"/>
      </w:pPr>
      <w:r>
        <w:rPr>
          <w:rFonts w:ascii="Times New Roman"/>
          <w:b w:val="false"/>
          <w:i w:val="false"/>
          <w:color w:val="000000"/>
          <w:sz w:val="28"/>
        </w:rPr>
        <w:t>
      20___ жылы "__" __________ ____сағат____ минутта мына мекенжайда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(құпия өсиет жасаған тұлғаның тегі, аты, әкесінің аты (бар болған жағдайда) көрсетіледі) құпия өсиетін жариялау және ашу жүргізілетінін Сізге хабарлаймын.</w:t>
      </w:r>
    </w:p>
    <w:p>
      <w:pPr>
        <w:spacing w:after="0"/>
        <w:ind w:left="0"/>
        <w:jc w:val="both"/>
      </w:pPr>
      <w:r>
        <w:rPr>
          <w:rFonts w:ascii="Times New Roman"/>
          <w:b w:val="false"/>
          <w:i w:val="false"/>
          <w:color w:val="000000"/>
          <w:sz w:val="28"/>
        </w:rPr>
        <w:t>
      Сізге заң бойынша мұрагер ретінде құпия өсиетті ашуға және жариялауға келуді ұсынамын.</w:t>
      </w:r>
    </w:p>
    <w:p>
      <w:pPr>
        <w:spacing w:after="0"/>
        <w:ind w:left="0"/>
        <w:jc w:val="both"/>
      </w:pPr>
      <w:r>
        <w:rPr>
          <w:rFonts w:ascii="Times New Roman"/>
          <w:b w:val="false"/>
          <w:i w:val="false"/>
          <w:color w:val="000000"/>
          <w:sz w:val="28"/>
        </w:rPr>
        <w:t>
      Нотариусқа жүгінгенде заң бойынша өсиет қалдырушының мұрагері екендігін растайтын және жеке басын анықтайтын құжаттар ұсынылады.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