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9bee" w14:textId="bf19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2020 жылғы 23 қарашадағы № 68-403-VI шешiмi. Түркістан облысының Әдiлет департаментiнде 2020 жылғы 24 қарашада № 5906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тіркелген) сәйкес, Шардара ауданы мәслихаты ШЕШІМ ҚАБЫЛДАДЫ:</w:t>
      </w:r>
    </w:p>
    <w:bookmarkEnd w:id="0"/>
    <w:bookmarkStart w:name="z2" w:id="1"/>
    <w:p>
      <w:pPr>
        <w:spacing w:after="0"/>
        <w:ind w:left="0"/>
        <w:jc w:val="both"/>
      </w:pPr>
      <w:r>
        <w:rPr>
          <w:rFonts w:ascii="Times New Roman"/>
          <w:b w:val="false"/>
          <w:i w:val="false"/>
          <w:color w:val="000000"/>
          <w:sz w:val="28"/>
        </w:rPr>
        <w:t>
      1.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2020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xml:space="preserve">
      2. Шардара аудандық мәслихатының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2020 жылғы 31 наурыздағы № 56-353-VI (Нормативтік құқықтық актілерді мемлекеттік тіркеу тізілімінде № 5562 тіркелген, 2020 жылғы 13 сәуірдегі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"Шардара ауданы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Шардара ауданы мәслихат аппаратының басшысы Р.Бекмуратовқа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