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ef9c" w14:textId="a5ee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12 маусымдағы № 175 "Мектепке дейінгі тәрбие мен оқыту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19 қаңтардағы № 23 қаулысы. Оңтүстiк Қазақстан облысының Әдiлет департаментiнде 2018 жылғы 5 ақпанда № 4443 болып тiркелдi. Күші жойылды - Түркістан облысы әкiмдiгiнiң 2021 жылғы 11 ақпандағы № 34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Қазақстан Республикасы Білім және ғылым министрінің 2017 жылғы 11 қазандағы № 518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 Нормативтік құқықтық актілерді тіркеу тізілімінде № 15966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12 маусымдағы № 175 "Мектепке дейінгі тәрбие мен оқыту саласындағы мемлекеттік көрсетілетін қызметтер регламентерін бекіту туралы" (Нормативтік құқықтық актілерді мемлекеттік тіркеу тізілімінде № 3232 болып тіркелген, 2015 жылғы 11 шілдеде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қызметінің регламенті" деген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bookmarkStart w:name="z6" w:id="4"/>
    <w:p>
      <w:pPr>
        <w:spacing w:after="0"/>
        <w:ind w:left="0"/>
        <w:jc w:val="both"/>
      </w:pPr>
      <w:r>
        <w:rPr>
          <w:rFonts w:ascii="Times New Roman"/>
          <w:b w:val="false"/>
          <w:i w:val="false"/>
          <w:color w:val="000000"/>
          <w:sz w:val="28"/>
        </w:rPr>
        <w:t xml:space="preserve">
      "Мектепке дейінгі білім беру ұйымдарына құжаттарды қабылдау және балаларды қабылдау" мемлекеттік көрсетілетін қызметінің регламенті" деген </w:t>
      </w:r>
      <w:r>
        <w:rPr>
          <w:rFonts w:ascii="Times New Roman"/>
          <w:b w:val="false"/>
          <w:i w:val="false"/>
          <w:color w:val="000000"/>
          <w:sz w:val="28"/>
        </w:rPr>
        <w:t>2-қосымшасында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бөлімде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9" w:id="6"/>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6"/>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10" w:id="7"/>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7"/>
    <w:bookmarkStart w:name="z11"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Ә.Б.Тасыбаев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