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902c" w14:textId="1e49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 2012 жылғы 20 шілдедегі № 170 қаулыға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13 желтоқсандағы N 310 қаулысы. Шығыс Қазақстан облысының Әділет департаментінде 2013 жылғы 25 қаңтарда N 2845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21-1) тармақшасына</w:t>
      </w:r>
      <w:r>
        <w:rPr>
          <w:rFonts w:ascii="Times New Roman"/>
          <w:b w:val="false"/>
          <w:i w:val="false"/>
          <w:color w:val="000000"/>
          <w:sz w:val="28"/>
        </w:rPr>
        <w:t>,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9 қазандағы № 1278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«Мұрағаттық анықтамалар беру» электрондық мемлекеттік қызмет регламентін бекіту туралы» Шығыс Қазақстан облысы әкімдігінің 2012 жылғы 20 шілдедегі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w:t>
      </w:r>
      <w:r>
        <w:rPr>
          <w:rFonts w:ascii="Times New Roman"/>
          <w:b w:val="false"/>
          <w:i w:val="false"/>
          <w:color w:val="222222"/>
          <w:sz w:val="28"/>
        </w:rPr>
        <w:t>құқықтық актілерді</w:t>
      </w:r>
      <w:r>
        <w:rPr>
          <w:rFonts w:ascii="Times New Roman"/>
          <w:b w:val="false"/>
          <w:i w:val="false"/>
          <w:color w:val="000000"/>
          <w:sz w:val="28"/>
        </w:rPr>
        <w:t> </w:t>
      </w:r>
      <w:r>
        <w:rPr>
          <w:rFonts w:ascii="Times New Roman"/>
          <w:b w:val="false"/>
          <w:i w:val="false"/>
          <w:color w:val="222222"/>
          <w:sz w:val="28"/>
        </w:rPr>
        <w:t>мемлекеттік тіркеу тізілімінде 2639 нөмірімен тіркелген, 2012 жылғы 28 тамыздағы № 100 (16729), 2012 жылғы 30 тамыздағы № 101 (16730), 2012 жылғы 1 қыркүйектегі № 102 (16731) «Дидар», 2012 жылғы 27 тамыздағы № 100 (19240), 2012 жылғы 29 тамыздағы № 101 (19241), 2012 жылғы 7 қыркүйектегі № 105 (19245) «Рудный Алтай» газеттерінде жарияланған</w:t>
      </w:r>
      <w:r>
        <w:rPr>
          <w:rFonts w:ascii="Times New Roman"/>
          <w:b w:val="false"/>
          <w:i w:val="false"/>
          <w:color w:val="000000"/>
          <w:sz w:val="28"/>
        </w:rPr>
        <w:t>)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«Мұрағаттық анықтамалар беру» электрондық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Е. Көшербаев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p>
      <w:pPr>
        <w:spacing w:after="0"/>
        <w:ind w:left="0"/>
        <w:jc w:val="both"/>
      </w:pPr>
      <w:r>
        <w:rPr>
          <w:rFonts w:ascii="Times New Roman"/>
          <w:b w:val="false"/>
          <w:i/>
          <w:color w:val="000000"/>
          <w:sz w:val="28"/>
        </w:rPr>
        <w:t>      2012 жылғы 21 желтоқсан</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13 желтоқсандағы № 310</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000000"/>
          <w:sz w:val="28"/>
        </w:rPr>
        <w:t>Шығыс Қазақстан облысы әкімдігінің</w:t>
      </w:r>
      <w:r>
        <w:br/>
      </w:r>
      <w:r>
        <w:rPr>
          <w:rFonts w:ascii="Times New Roman"/>
          <w:b w:val="false"/>
          <w:i w:val="false"/>
          <w:color w:val="000000"/>
          <w:sz w:val="28"/>
        </w:rPr>
        <w:t>
2012 жылғы 20 шілдедегі № 170</w:t>
      </w:r>
      <w:r>
        <w:br/>
      </w:r>
      <w:r>
        <w:rPr>
          <w:rFonts w:ascii="Times New Roman"/>
          <w:b w:val="false"/>
          <w:i w:val="false"/>
          <w:color w:val="000000"/>
          <w:sz w:val="28"/>
        </w:rPr>
        <w:t>
қаулысымен бекітілген</w:t>
      </w:r>
    </w:p>
    <w:p>
      <w:pPr>
        <w:spacing w:after="0"/>
        <w:ind w:left="0"/>
        <w:jc w:val="left"/>
      </w:pPr>
      <w:r>
        <w:rPr>
          <w:rFonts w:ascii="Times New Roman"/>
          <w:b/>
          <w:i w:val="false"/>
          <w:color w:val="000000"/>
        </w:rPr>
        <w:t xml:space="preserve"> «Мұрағаттық анықтамалар беру» электрондық</w:t>
      </w:r>
      <w:r>
        <w:br/>
      </w:r>
      <w:r>
        <w:rPr>
          <w:rFonts w:ascii="Times New Roman"/>
          <w:b/>
          <w:i w:val="false"/>
          <w:color w:val="000000"/>
        </w:rPr>
        <w:t>
мемлекеттік қызметінің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«Мұрағаттық анықтамалар беру» электрондық мемлекеттік қызметті (бұдан әрі – электрондық мемлекеттік қызмет)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 «Шығыс Қазақстан облысының мұрағаттар және құжаттама басқармасы» мемлекеттік мекемесі және мемлекеттік мұрағаттар (бұдан әрі – қызмет көрсетуші) көрсетеді, баламалы негізде мекенжайлары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халыққа қызмет көрсету орталықтары (бұдан әрі – ХҚКО) арқылы, сондай-ақ пайдаланушыда ЭЦҚ бар болған жағдайда «электронды үкіметтің»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 2315 қаулысымен бекітілген «Мұрағаттық анықтамалар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автоматтандырылу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қызметін бірлескен кәсіпкерлік түрінде жүзеге асыратын заңды тұлға (филиал және өкілдік) пен жеке кәсіпкер үшін қалыптастырылатын бірегей нөмір;</w:t>
      </w:r>
      <w:r>
        <w:br/>
      </w:r>
      <w:r>
        <w:rPr>
          <w:rFonts w:ascii="Times New Roman"/>
          <w:b w:val="false"/>
          <w:i w:val="false"/>
          <w:color w:val="000000"/>
          <w:sz w:val="28"/>
        </w:rPr>
        <w:t>
      3) «электрондық үкiметтің» веб-порталы (бұдан әрi - ЭҮП) – нормативтiк құқықтық базаны қоса алғанда біріккен барлық үкiметтiк ақпаратқа және электрондық мемлекеттiк қызметтерге бiрыңғай қол жеткізу терезесі болып табылатын ақпараттық жүйе;</w:t>
      </w:r>
      <w:r>
        <w:br/>
      </w:r>
      <w:r>
        <w:rPr>
          <w:rFonts w:ascii="Times New Roman"/>
          <w:b w:val="false"/>
          <w:i w:val="false"/>
          <w:color w:val="000000"/>
          <w:sz w:val="28"/>
        </w:rPr>
        <w:t>
      4) «Жеке тұлғалар» мемлекеттік деректер қоры (бұдан әрі – ЖТ МДҚ) – ақпараттарды автоматты түрде жинауға, сақтауға және өңдеуге, Қазақстан Республикасында жеке тұлғаларды бірыңғай сәйкестендіруді енгізу мақсатында Жеке сәйкестендіру нөмірлерінің ұлттық реестрін құруға және Қазақстан Республикасының заңнамасына сәйкес мемлекеттік басқару органдарына және басқа да субъектілерге олардың құзыреттері шеңберінде олар туралы өзекті және дәл мәліметтер беруге арналған ақпараттық жүйе;</w:t>
      </w:r>
      <w:r>
        <w:br/>
      </w:r>
      <w:r>
        <w:rPr>
          <w:rFonts w:ascii="Times New Roman"/>
          <w:b w:val="false"/>
          <w:i w:val="false"/>
          <w:color w:val="000000"/>
          <w:sz w:val="28"/>
        </w:rPr>
        <w:t>
      5) «Заңды тұлғалар» мемлекеттік деректер қоры (бұдан әрі – ЗТ МДҚ) – ақпараттарды автоматты түрде жинауға, сақтауға және өңдеуге, Қазақстан Республикасында заңды тұлғалардың бірыңғай сәйкестендірілуін енгізу мақсатында Бизнес-сәйкестендіру нөмірінің ұлттық реестрін құруға және Қазақстан Республикасының заңнамасына сәйкес мемлекеттік басқару органдарына және басқа да субъектілерге олардың құзыреттері шеңберінде олар туралы өзекті және дәл мәліметтер беруге арналған ақпараттық жүйе;</w:t>
      </w:r>
      <w:r>
        <w:br/>
      </w:r>
      <w:r>
        <w:rPr>
          <w:rFonts w:ascii="Times New Roman"/>
          <w:b w:val="false"/>
          <w:i w:val="false"/>
          <w:color w:val="000000"/>
          <w:sz w:val="28"/>
        </w:rPr>
        <w:t>
      6) бірыңғай нотариаттық ақпараттық жүйе (бұдан әрі – БНАЖ) – бұл нотариаттық қызметті автоматтандыруға және әділет органдары мен нотариаттық палаталардың өзара бірлескен іс-қимылына арналған аппараттық-бағдарламалық кешен;</w:t>
      </w:r>
      <w:r>
        <w:br/>
      </w:r>
      <w:r>
        <w:rPr>
          <w:rFonts w:ascii="Times New Roman"/>
          <w:b w:val="false"/>
          <w:i w:val="false"/>
          <w:color w:val="000000"/>
          <w:sz w:val="28"/>
        </w:rPr>
        <w:t>
      7) </w:t>
      </w:r>
      <w:r>
        <w:rPr>
          <w:rFonts w:ascii="Times New Roman"/>
          <w:b w:val="false"/>
          <w:i w:val="false"/>
          <w:color w:val="000000"/>
          <w:sz w:val="28"/>
        </w:rPr>
        <w:t>жеке сәйкестендiру нөмiрi</w:t>
      </w:r>
      <w:r>
        <w:rPr>
          <w:rFonts w:ascii="Times New Roman"/>
          <w:b w:val="false"/>
          <w:i w:val="false"/>
          <w:color w:val="000000"/>
          <w:sz w:val="28"/>
        </w:rPr>
        <w:t xml:space="preserve"> (бұдан әрі - ЖСН) – жеке тұлға, соның iшiнде қызметiн жеке кәсiпкерлiк түрiнде жүзеге асыратын жеке кәсiпкер үшiн қалыптастырылатын бiрегей нөмiр;</w:t>
      </w:r>
      <w:r>
        <w:br/>
      </w:r>
      <w:r>
        <w:rPr>
          <w:rFonts w:ascii="Times New Roman"/>
          <w:b w:val="false"/>
          <w:i w:val="false"/>
          <w:color w:val="000000"/>
          <w:sz w:val="28"/>
        </w:rPr>
        <w:t>
      8) ақпараттық жүйе (бұдан әрі - АЖ) – ақпараттық-бағдарламалық кешенді қолдана отырып ақпаратты сақтауға, өңдеуге, іздеуге, таратуға, жіберуге және беруге арналған ақпараттық жүйе;</w:t>
      </w:r>
      <w:r>
        <w:br/>
      </w:r>
      <w:r>
        <w:rPr>
          <w:rFonts w:ascii="Times New Roman"/>
          <w:b w:val="false"/>
          <w:i w:val="false"/>
          <w:color w:val="000000"/>
          <w:sz w:val="28"/>
        </w:rPr>
        <w:t>
      9) Қазақстан Республикасының халыққа қызмет көрсету орталықтарының ақпараттық жүйесі (бұдан әрі – ХҚКО АЖ) – халыққа (жеке және заңды тұлғаларға) Қазақстан Республикасының халыққа қызмет көрсету орталықтары, сондай-ақ тиісті министрліктер мен ведомстволар арқылы қызмет көрсету үдерісін автоматтандыруға арналған ақпараттық жүйе;</w:t>
      </w:r>
      <w:r>
        <w:br/>
      </w:r>
      <w:r>
        <w:rPr>
          <w:rFonts w:ascii="Times New Roman"/>
          <w:b w:val="false"/>
          <w:i w:val="false"/>
          <w:color w:val="000000"/>
          <w:sz w:val="28"/>
        </w:rPr>
        <w:t>
      10) алушы – электрондық мемлекеттік қызмет көрсетілетін жеке және заңды тұлғалар;</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субъекті (алушы, қызмет көрсетуші);</w:t>
      </w:r>
      <w:r>
        <w:br/>
      </w:r>
      <w:r>
        <w:rPr>
          <w:rFonts w:ascii="Times New Roman"/>
          <w:b w:val="false"/>
          <w:i w:val="false"/>
          <w:color w:val="000000"/>
          <w:sz w:val="28"/>
        </w:rPr>
        <w:t>
      12) құрылымдық-функционалдық бірліктер (бұдан әрі - ҚФБ) - ақпараттық жүйелері электрондық мемлекеттік қызмет көрсету үдерісіне қатысатын мемлекеттік органдардың, мемлекеттік мекемелердің немесе өзге де ұйымдардың құрылымдық бөлімшелерінің тізбесі;</w:t>
      </w:r>
      <w:r>
        <w:br/>
      </w:r>
      <w:r>
        <w:rPr>
          <w:rFonts w:ascii="Times New Roman"/>
          <w:b w:val="false"/>
          <w:i w:val="false"/>
          <w:color w:val="000000"/>
          <w:sz w:val="28"/>
        </w:rPr>
        <w:t>
      13)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«электрондық үкiметтің» шлюзi (бұдан әрi - ЭҮШ) – электрондық қызметтi iске асыру шеңберіндегі «электрондық үкiметтің» ақпараттық жүйелерiн біріктіруге арналған ақпараттық жүйе;</w:t>
      </w:r>
      <w:r>
        <w:br/>
      </w:r>
      <w:r>
        <w:rPr>
          <w:rFonts w:ascii="Times New Roman"/>
          <w:b w:val="false"/>
          <w:i w:val="false"/>
          <w:color w:val="000000"/>
          <w:sz w:val="28"/>
        </w:rPr>
        <w:t>
      15)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 цифрлық формада берiлген және электрондық цифрлық қолмен куәландырылған құжат;</w:t>
      </w:r>
      <w:r>
        <w:br/>
      </w:r>
      <w:r>
        <w:rPr>
          <w:rFonts w:ascii="Times New Roman"/>
          <w:b w:val="false"/>
          <w:i w:val="false"/>
          <w:color w:val="000000"/>
          <w:sz w:val="28"/>
        </w:rPr>
        <w:t>
      16) электрондық мемлекеттік қызмет – ақпараттық технологиялар қолданылып, электрондық формада көрсетілетін мемлекеттік қызмет;</w:t>
      </w:r>
      <w:r>
        <w:br/>
      </w:r>
      <w:r>
        <w:rPr>
          <w:rFonts w:ascii="Times New Roman"/>
          <w:b w:val="false"/>
          <w:i w:val="false"/>
          <w:color w:val="000000"/>
          <w:sz w:val="28"/>
        </w:rPr>
        <w:t>
      17)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әрi - ЭЦҚ) – электрондық сандық қолтаңба құралдарымен жасалған және электрондық құжаттың дәлдігін, оның кімге тиесiлi екендігін және мазмұнының өзгермейтіндігін растайтын электрондық цифрлық таңбалардың жиынтығы.</w:t>
      </w:r>
    </w:p>
    <w:bookmarkEnd w:id="3"/>
    <w:bookmarkStart w:name="z12" w:id="4"/>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бойынша қызмет көрсетушінің қызмет тәртібі</w:t>
      </w:r>
    </w:p>
    <w:bookmarkEnd w:id="4"/>
    <w:bookmarkStart w:name="z13" w:id="5"/>
    <w:p>
      <w:pPr>
        <w:spacing w:after="0"/>
        <w:ind w:left="0"/>
        <w:jc w:val="both"/>
      </w:pPr>
      <w:r>
        <w:rPr>
          <w:rFonts w:ascii="Times New Roman"/>
          <w:b w:val="false"/>
          <w:i w:val="false"/>
          <w:color w:val="000000"/>
          <w:sz w:val="28"/>
        </w:rPr>
        <w:t>
      6. ЭҮП арқылы қадамдық әрекеттер мен шешiмдер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(ЭҮП арқылы электрондық мемлекеттік қызмет көрсету кезіндегі функционалдық өзара әрекеттестіктің № 1 диаграммасы) келтірілген:</w:t>
      </w:r>
      <w:r>
        <w:br/>
      </w:r>
      <w:r>
        <w:rPr>
          <w:rFonts w:ascii="Times New Roman"/>
          <w:b w:val="false"/>
          <w:i w:val="false"/>
          <w:color w:val="000000"/>
          <w:sz w:val="28"/>
        </w:rPr>
        <w:t>
      1) алушы ЖСН/БСН және парольдің көмегімен ЭҮП-те тiркелудi жүзеге асырады (ЭҮП-те тiркелмеген алушылар үшiн жүзеге асырылады);</w:t>
      </w:r>
      <w:r>
        <w:br/>
      </w:r>
      <w:r>
        <w:rPr>
          <w:rFonts w:ascii="Times New Roman"/>
          <w:b w:val="false"/>
          <w:i w:val="false"/>
          <w:color w:val="000000"/>
          <w:sz w:val="28"/>
        </w:rPr>
        <w:t>
      2) 1 үдерiс – қызметті алу үшін алушының ЭҮП ЖСН/БСН және парольді енгiзуі (авторландыру үдерiсi);</w:t>
      </w:r>
      <w:r>
        <w:br/>
      </w:r>
      <w:r>
        <w:rPr>
          <w:rFonts w:ascii="Times New Roman"/>
          <w:b w:val="false"/>
          <w:i w:val="false"/>
          <w:color w:val="000000"/>
          <w:sz w:val="28"/>
        </w:rPr>
        <w:t>
      3) 1 шарт – ЖСН/БСН және пароль арқылы тіркелген алушының деректерінің шынайылығын ЭҮП-те тексеру;</w:t>
      </w:r>
      <w:r>
        <w:br/>
      </w:r>
      <w:r>
        <w:rPr>
          <w:rFonts w:ascii="Times New Roman"/>
          <w:b w:val="false"/>
          <w:i w:val="false"/>
          <w:color w:val="000000"/>
          <w:sz w:val="28"/>
        </w:rPr>
        <w:t>
      4) 2 үдерiс – ЭҮП-те алушының деректерінде бұзушылықтардың болуына байланысты авторландырудан бас тарту туралы хабарламаны қалыптастыруы;</w:t>
      </w:r>
      <w:r>
        <w:br/>
      </w:r>
      <w:r>
        <w:rPr>
          <w:rFonts w:ascii="Times New Roman"/>
          <w:b w:val="false"/>
          <w:i w:val="false"/>
          <w:color w:val="000000"/>
          <w:sz w:val="28"/>
        </w:rPr>
        <w:t>
      5) 3 үдерiс – алушының осы регламентте көрсетiлген қызметтi таңдауы, қызмет көрсету үшін сұраным формасын экранға шығаруы және электрондық түрде бекiте отырып, алушының форманы оның құрылымдық және пішіндік талаптарын ескере толтыруы (деректерді енгізуі),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сұрау формасына қажетті құжаттардың көшірмелерін электронды түрде тіркеу, сондай-ақ сұрауды куәландыру (қол қою) үшін алушының ЭЦҚ тiркеу куәлiгiн таңдауы;</w:t>
      </w:r>
      <w:r>
        <w:br/>
      </w:r>
      <w:r>
        <w:rPr>
          <w:rFonts w:ascii="Times New Roman"/>
          <w:b w:val="false"/>
          <w:i w:val="false"/>
          <w:color w:val="000000"/>
          <w:sz w:val="28"/>
        </w:rPr>
        <w:t>
      6) 2 шарт – ЭҮП-те ЭЦҚ тiркеу куәлiгiнiң қолданыс мерзімін және қайтарып алынған (күшi жойылған) тiркеу куәлiктерiнiң тізімінде жоқтығын, сондай-ақ сәйкестендіру деректерінің (сұрауда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7) 4 үдерiс – алушының ЭЦҚ-ның шынайылығы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 үдерiс – қызметті көрсету үшін алушының ЭЦҚ көмегiмен сұрауды куәландыру және электрондық құжатты (сұрауды) ЭҮШ арқылы қызмет көрсетушінің өңдеуі үшін қызмет көрсетушінің АЖО жолдау;</w:t>
      </w:r>
      <w:r>
        <w:br/>
      </w:r>
      <w:r>
        <w:rPr>
          <w:rFonts w:ascii="Times New Roman"/>
          <w:b w:val="false"/>
          <w:i w:val="false"/>
          <w:color w:val="000000"/>
          <w:sz w:val="28"/>
        </w:rPr>
        <w:t>
      9) 6 үдеріс – электрондық құжатты қызмет көрсетушінің АЖО тіркеу;</w:t>
      </w:r>
      <w:r>
        <w:br/>
      </w:r>
      <w:r>
        <w:rPr>
          <w:rFonts w:ascii="Times New Roman"/>
          <w:b w:val="false"/>
          <w:i w:val="false"/>
          <w:color w:val="000000"/>
          <w:sz w:val="28"/>
        </w:rPr>
        <w:t>
      10) 3 шарт – қызмет көрсетушінің алушы қоса тіркеген құжаттардың стандартта көрсетілген құжаттар тізіміне және қызметті көрсету негіздеріне сәйкестігін тексеру (өңдеу);</w:t>
      </w:r>
      <w:r>
        <w:br/>
      </w:r>
      <w:r>
        <w:rPr>
          <w:rFonts w:ascii="Times New Roman"/>
          <w:b w:val="false"/>
          <w:i w:val="false"/>
          <w:color w:val="000000"/>
          <w:sz w:val="28"/>
        </w:rPr>
        <w:t>
      11) 7 үдерiс – алушының деректерiнде бұзушылықтардың болуына байланысты сұратылып отырған қызметтi көрсетуден бас тарту туралы хабарламаны қалыптастыру;</w:t>
      </w:r>
      <w:r>
        <w:br/>
      </w:r>
      <w:r>
        <w:rPr>
          <w:rFonts w:ascii="Times New Roman"/>
          <w:b w:val="false"/>
          <w:i w:val="false"/>
          <w:color w:val="000000"/>
          <w:sz w:val="28"/>
        </w:rPr>
        <w:t>
      12) 8 үдерiс – алушының қызмет көрсетушінің АЖО қалыптастырылған қызметтің нәтижесiн (мұрағаттық анықтаманың дайындығы туралы электрондық нысандағы хабарламаны) алуы. Электрондық құжат қызмет көрсетушінің уәкiлеттi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көрсетушінің қадамдық әрекеттерi мен шешiмдерi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 (қызмет көрсетуші арқылы электрондық мемлекеттік қызмет көрсету кезіндегі функционалдық өзара әрекеттестіктің № 2 диаграммасы):</w:t>
      </w:r>
      <w:r>
        <w:br/>
      </w:r>
      <w:r>
        <w:rPr>
          <w:rFonts w:ascii="Times New Roman"/>
          <w:b w:val="false"/>
          <w:i w:val="false"/>
          <w:color w:val="000000"/>
          <w:sz w:val="28"/>
        </w:rPr>
        <w:t>
      1) 1 үдерiс – қызмет көрсету үшін қызмет көрсетуші қызметкерiнiң АЖО ЖСН/БСН және парольді енгізуі (авторландыру үдерiсi);</w:t>
      </w:r>
      <w:r>
        <w:br/>
      </w:r>
      <w:r>
        <w:rPr>
          <w:rFonts w:ascii="Times New Roman"/>
          <w:b w:val="false"/>
          <w:i w:val="false"/>
          <w:color w:val="000000"/>
          <w:sz w:val="28"/>
        </w:rPr>
        <w:t>
      2) 2 үдерiс – қызмет көрсетуші қызметкерiнiң осы регламентте көрсетiлген қызметтi таңдауы, қызмет көрсетуге арналған сұрау формасын экранға шығаруы және қызмет көрсетуші қызметкерiнің алушының деректерiн енгiзуi;</w:t>
      </w:r>
      <w:r>
        <w:br/>
      </w:r>
      <w:r>
        <w:rPr>
          <w:rFonts w:ascii="Times New Roman"/>
          <w:b w:val="false"/>
          <w:i w:val="false"/>
          <w:color w:val="000000"/>
          <w:sz w:val="28"/>
        </w:rPr>
        <w:t>
      3) 3 үдерiс – ЭҮШ арқылы ЖТ МДҚ/ЗТ МДҚ алушының деректерi туралы сұрауды жолдауы;</w:t>
      </w:r>
      <w:r>
        <w:br/>
      </w:r>
      <w:r>
        <w:rPr>
          <w:rFonts w:ascii="Times New Roman"/>
          <w:b w:val="false"/>
          <w:i w:val="false"/>
          <w:color w:val="000000"/>
          <w:sz w:val="28"/>
        </w:rPr>
        <w:t>
      4) 1 шарт – алушы деректерiнiң ЖТ МДҚ/ЗТ МДҚ болуын тексеру;</w:t>
      </w:r>
      <w:r>
        <w:br/>
      </w:r>
      <w:r>
        <w:rPr>
          <w:rFonts w:ascii="Times New Roman"/>
          <w:b w:val="false"/>
          <w:i w:val="false"/>
          <w:color w:val="000000"/>
          <w:sz w:val="28"/>
        </w:rPr>
        <w:t>
      5) 4 үдерiс – алушы деректерiнiң ЖТ МДҚ/ЗТ МДҚ-да болмауына байланысты деректердi алу мүмкiндігі жоқтығы туралы хабарламаны қалыптастыру;</w:t>
      </w:r>
      <w:r>
        <w:br/>
      </w:r>
      <w:r>
        <w:rPr>
          <w:rFonts w:ascii="Times New Roman"/>
          <w:b w:val="false"/>
          <w:i w:val="false"/>
          <w:color w:val="000000"/>
          <w:sz w:val="28"/>
        </w:rPr>
        <w:t>
      6) 5 үдерiс – қызмет көрсетуші қызметкерiнiң алушы ұсынған құжаттардың қағаз нысанында болуын белгiлеу бөлiгiнде сұрау формасын толтыруы, оларды сұрау формасына бекiтуi және қызмет көрсетуге толтырылған сұрау формасын (енгізілген деректерді) ЭЦҚ арқылы куәландыруы;</w:t>
      </w:r>
      <w:r>
        <w:br/>
      </w:r>
      <w:r>
        <w:rPr>
          <w:rFonts w:ascii="Times New Roman"/>
          <w:b w:val="false"/>
          <w:i w:val="false"/>
          <w:color w:val="000000"/>
          <w:sz w:val="28"/>
        </w:rPr>
        <w:t>
      7) 6 үдерiс – электрондық құжатты қызмет көрсетушінің АЖО тіркеу;</w:t>
      </w:r>
      <w:r>
        <w:br/>
      </w:r>
      <w:r>
        <w:rPr>
          <w:rFonts w:ascii="Times New Roman"/>
          <w:b w:val="false"/>
          <w:i w:val="false"/>
          <w:color w:val="000000"/>
          <w:sz w:val="28"/>
        </w:rPr>
        <w:t>
      8) 2 шарт – қызмет көрсетуші қоса берген құжаттардың стандартта көрсетілген құжаттар тізбесіне және қызмет көрсету негіздеріне сәйкестігін тексеру (өңдеу);</w:t>
      </w:r>
      <w:r>
        <w:br/>
      </w:r>
      <w:r>
        <w:rPr>
          <w:rFonts w:ascii="Times New Roman"/>
          <w:b w:val="false"/>
          <w:i w:val="false"/>
          <w:color w:val="000000"/>
          <w:sz w:val="28"/>
        </w:rPr>
        <w:t>
      9) 7 үдерiс – алушының құжаттарындағы бұзушылықтардың болуына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10) 8 үдерiс – алушының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8. Қызмет көрсетушінің ХҚКО арқылы қадамдық әрекеттерi мен шешiмдерi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 (ХҚКО АЖ арқылы электрондық мемлекеттік қызмет көрсету кезіндегі функционалдық өзара әрекеттестіктің № 3 диаграммасы):</w:t>
      </w:r>
      <w:r>
        <w:br/>
      </w:r>
      <w:r>
        <w:rPr>
          <w:rFonts w:ascii="Times New Roman"/>
          <w:b w:val="false"/>
          <w:i w:val="false"/>
          <w:color w:val="000000"/>
          <w:sz w:val="28"/>
        </w:rPr>
        <w:t>
      1) 1 үдерiс – қызмет көрсету үшін орталық операторының ХҚКО АЖ АЖО-ға логинді және парольді енгізуі (авторландыру үдерiсi);</w:t>
      </w:r>
      <w:r>
        <w:br/>
      </w:r>
      <w:r>
        <w:rPr>
          <w:rFonts w:ascii="Times New Roman"/>
          <w:b w:val="false"/>
          <w:i w:val="false"/>
          <w:color w:val="000000"/>
          <w:sz w:val="28"/>
        </w:rPr>
        <w:t>
      2) 2 үдерiс – орталық операторының осы регламентте көрсетiлген қызметтi таңдауы, қызмет көрсетуге арналған сұрау формасын экранға шығаруы және орталық операторының алушының деректерiн, сондай-ақ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3) 3 үдерiс – ЭҮШ арқылы ЖТ МДҚ/ЗТ МДҚ-ға алушының деректерi, сондай-ақ БНАЖ-ға алушының сенімхат бойынша өкілінің деректері туралы сұрауды жіберу;</w:t>
      </w:r>
      <w:r>
        <w:br/>
      </w:r>
      <w:r>
        <w:rPr>
          <w:rFonts w:ascii="Times New Roman"/>
          <w:b w:val="false"/>
          <w:i w:val="false"/>
          <w:color w:val="000000"/>
          <w:sz w:val="28"/>
        </w:rPr>
        <w:t>
      4) 1 шарт – ЖТ МДҚ/ЗТ МДҚ-да алушы деректерiнiң, БНАЖ-да сенімхат деректерінің болуын тексеру;</w:t>
      </w:r>
      <w:r>
        <w:br/>
      </w:r>
      <w:r>
        <w:rPr>
          <w:rFonts w:ascii="Times New Roman"/>
          <w:b w:val="false"/>
          <w:i w:val="false"/>
          <w:color w:val="000000"/>
          <w:sz w:val="28"/>
        </w:rPr>
        <w:t>
      5) 4 үдерiс – ЖТ МДҚ/ЗТ МДҚ-да алушы деректерiнiң, БНАЖ-да сенімхат деректерінің болмауына байланысты деректердi алу мүмкiндігі жоқтығы жөнінде хабарламаны қалыптастыру;</w:t>
      </w:r>
      <w:r>
        <w:br/>
      </w:r>
      <w:r>
        <w:rPr>
          <w:rFonts w:ascii="Times New Roman"/>
          <w:b w:val="false"/>
          <w:i w:val="false"/>
          <w:color w:val="000000"/>
          <w:sz w:val="28"/>
        </w:rPr>
        <w:t>
      6) 5 үдерiс – орталық операторының алушы ұсынған сұрау нысанын құжаттардың қағаз нысанында болуын белгiлеу бөлiгiнде толтыруы және құжаттарды сканерлеуi, оларды сұрау нысанына бекiтуi және қызмет көрсетуге толтырылған сұрау нысанын (енгізілген деректерді) ЭЦҚ арқылы куәландыруы;</w:t>
      </w:r>
      <w:r>
        <w:br/>
      </w:r>
      <w:r>
        <w:rPr>
          <w:rFonts w:ascii="Times New Roman"/>
          <w:b w:val="false"/>
          <w:i w:val="false"/>
          <w:color w:val="000000"/>
          <w:sz w:val="28"/>
        </w:rPr>
        <w:t>
      7) 6 үдерiс – қызмет көрсетушінің АЖО-да ЭҮШ арқылы орталық операторының ЭЦҚ куәландырылған (қол қойылған) электрондық құжатты (алушының сұрауын) жолдау;</w:t>
      </w:r>
      <w:r>
        <w:br/>
      </w:r>
      <w:r>
        <w:rPr>
          <w:rFonts w:ascii="Times New Roman"/>
          <w:b w:val="false"/>
          <w:i w:val="false"/>
          <w:color w:val="000000"/>
          <w:sz w:val="28"/>
        </w:rPr>
        <w:t>
      8) 7 үдеріс – электрондық құжатты қызмет көрсетушінің АЖО тіркеу;</w:t>
      </w:r>
      <w:r>
        <w:br/>
      </w:r>
      <w:r>
        <w:rPr>
          <w:rFonts w:ascii="Times New Roman"/>
          <w:b w:val="false"/>
          <w:i w:val="false"/>
          <w:color w:val="000000"/>
          <w:sz w:val="28"/>
        </w:rPr>
        <w:t>
      9) 2 шарт – қызмет көрсетушінің, қоса берілген құжаттардың стандартта көрсетілген құжаттар тізбесіне және қызметті көрсету негіздеріне сәйкестігін тексеруі (өңдеуі);</w:t>
      </w:r>
      <w:r>
        <w:br/>
      </w:r>
      <w:r>
        <w:rPr>
          <w:rFonts w:ascii="Times New Roman"/>
          <w:b w:val="false"/>
          <w:i w:val="false"/>
          <w:color w:val="000000"/>
          <w:sz w:val="28"/>
        </w:rPr>
        <w:t>
      10) 8 үдерiс – алушының құжаттарындағы бұзушылықтардың болуына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11) 9 үдерiс – алушының орталық операторы арқылы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9. Тұтынушыға көрсетілетін электрондық мемлекеттік қызметтің сұрауды толтырудың, экрандық нысандары және өтініш нысандары мемлекеттік немесе орыс тілінде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көрсету бойынша сұраудың орындалу дәрежесін тексеру әдісі: «электронды үкімет» порталының «Қызмет алу тарихы» бөліміне, сондай-ақ ММ/ХҚКО жүгіну арқылы.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сондай-ақ қажет болған жағдайда олардың сапасын бағалау (соның ішінде шағымдану) үшін ақпаратты алуға арналған байланыс телефонының нөмірі: 8(7232) 25-40-45 және сall–орталық (1414) телефоны арқылы алуға болады.</w:t>
      </w:r>
    </w:p>
    <w:bookmarkEnd w:id="5"/>
    <w:bookmarkStart w:name="z19" w:id="6"/>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үдерісі кезіндегі өзара іс-қимыл тәртібінің сипаттамасы</w:t>
      </w:r>
    </w:p>
    <w:bookmarkEnd w:id="6"/>
    <w:bookmarkStart w:name="z20" w:id="7"/>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w:t>
      </w:r>
      <w:r>
        <w:br/>
      </w:r>
      <w:r>
        <w:rPr>
          <w:rFonts w:ascii="Times New Roman"/>
          <w:b w:val="false"/>
          <w:i w:val="false"/>
          <w:color w:val="000000"/>
          <w:sz w:val="28"/>
        </w:rPr>
        <w:t>
      қызмет көрсетуші;</w:t>
      </w:r>
      <w:r>
        <w:br/>
      </w:r>
      <w:r>
        <w:rPr>
          <w:rFonts w:ascii="Times New Roman"/>
          <w:b w:val="false"/>
          <w:i w:val="false"/>
          <w:color w:val="000000"/>
          <w:sz w:val="28"/>
        </w:rPr>
        <w:t>
      ХҚКО операторы.</w:t>
      </w:r>
      <w:r>
        <w:br/>
      </w:r>
      <w:r>
        <w:rPr>
          <w:rFonts w:ascii="Times New Roman"/>
          <w:b w:val="false"/>
          <w:i w:val="false"/>
          <w:color w:val="000000"/>
          <w:sz w:val="28"/>
        </w:rPr>
        <w:t>
      Электрондық мемлекеттік қызметті көрсету үдерісіне қатысатын АЖ:</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қызмет көрсетушінің АЖО;</w:t>
      </w:r>
      <w:r>
        <w:br/>
      </w:r>
      <w:r>
        <w:rPr>
          <w:rFonts w:ascii="Times New Roman"/>
          <w:b w:val="false"/>
          <w:i w:val="false"/>
          <w:color w:val="000000"/>
          <w:sz w:val="28"/>
        </w:rPr>
        <w:t>
      ХҚКО АЖ;</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Іс-қимылдың (электрондық мемлекеттік қызметті көрсету үдерісінде) логикалық жүйелілігі мен оның сипаттамасы арасындағы сәйкестікті көрсететін өзара әрекеттестіктің диаграммасы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Әрбір әрекеттің орындалу (рәсімдер, функциялар, операциялар) жүйелілігі мен орындалу мерзімі көрсетілген кестедегі мәтіндік сипаттамасы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регламентке </w:t>
      </w:r>
      <w:r>
        <w:rPr>
          <w:rFonts w:ascii="Times New Roman"/>
          <w:b w:val="false"/>
          <w:i w:val="false"/>
          <w:color w:val="000000"/>
          <w:sz w:val="28"/>
        </w:rPr>
        <w:t>6 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көрсетуге арналған бланкілердің нысандары, үлгілері осы регламентке </w:t>
      </w:r>
      <w:r>
        <w:rPr>
          <w:rFonts w:ascii="Times New Roman"/>
          <w:b w:val="false"/>
          <w:i w:val="false"/>
          <w:color w:val="000000"/>
          <w:sz w:val="28"/>
        </w:rPr>
        <w:t>7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Алушының электрондық мемлекеттік қызмет көрсету үдерісіне қоятын талаптары:</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 пен қорларды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3) ЭҮП-те авторландыру;</w:t>
      </w:r>
      <w:r>
        <w:br/>
      </w:r>
      <w:r>
        <w:rPr>
          <w:rFonts w:ascii="Times New Roman"/>
          <w:b w:val="false"/>
          <w:i w:val="false"/>
          <w:color w:val="000000"/>
          <w:sz w:val="28"/>
        </w:rPr>
        <w:t>
      4) алушының ЭЦҚ болуы;</w:t>
      </w:r>
      <w:r>
        <w:br/>
      </w:r>
      <w:r>
        <w:rPr>
          <w:rFonts w:ascii="Times New Roman"/>
          <w:b w:val="false"/>
          <w:i w:val="false"/>
          <w:color w:val="000000"/>
          <w:sz w:val="28"/>
        </w:rPr>
        <w:t>
      5) банк карточкасының немесе екінші дәрежедегі банкіде ағымдағы шотының болуы.</w:t>
      </w:r>
    </w:p>
    <w:bookmarkEnd w:id="7"/>
    <w:bookmarkStart w:name="z27"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 қосымша</w:t>
      </w:r>
    </w:p>
    <w:bookmarkEnd w:id="8"/>
    <w:p>
      <w:pPr>
        <w:spacing w:after="0"/>
        <w:ind w:left="0"/>
        <w:jc w:val="left"/>
      </w:pPr>
      <w:r>
        <w:rPr>
          <w:rFonts w:ascii="Times New Roman"/>
          <w:b/>
          <w:i w:val="false"/>
          <w:color w:val="000000"/>
        </w:rPr>
        <w:t xml:space="preserve"> Мемлекеттік мұрағаттардың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544"/>
        <w:gridCol w:w="4502"/>
        <w:gridCol w:w="3280"/>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мұрағаттар және құжаттама басқармасы» 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көшесі, 23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26-48-47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Головков көшесі, 26/1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25-59-76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«Абай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Қараул ауылы, Құтжанов көшесі,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29-17-93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«Аягөз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қ., Ш. Уәлиханов көшесі, 32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73-30-78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«Бесқарағай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Большая Владимировка ауылы, Пушкин көшесі, 2а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69-13-43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«Бородулиха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ауылы, Жастар көшесі, 25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 12-14-58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«Глубокое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кенті, Пирогов көшесі, 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12-28-78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«Жарма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Қалбатау ауылы, Қабанбай батыр көшесі, 142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76-77-31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«Зайсан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қ. Жангелдин көшесі, 52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02-14-76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«Зырян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 М. Горький көшесі, 33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56-30-16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«Катонқарағай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Үлкен Нарын ауылы, Огнев көшесі, 40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12-15-99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«Көкпекті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ауылы, Аухадиев көшесі, 46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82-14-62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«Күршім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ауылы, Барақ батыр көшесі, 25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«Риддер қаласының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Ш. Уәлиханов көшесі, 44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64-22-64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«Тарбағатай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Ақсуат ауылы, Жамбыл көшесі, 21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 62-21-73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«Ұлан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Қасым Қайсенов кенті, 5-ші үй</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82-74-15</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«Үржар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ауылы, Қабанбай батыр көшесі, 66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03-37-21</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«Шемонаиха ауданының мемлекеттік мұрағаты»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қ., Жуков көшесі,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 23-17-58</w:t>
            </w:r>
          </w:p>
        </w:tc>
      </w:tr>
      <w:tr>
        <w:trPr>
          <w:trHeight w:val="4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мұрағаттар және құжаттама басқармасының «Қазіргі заман тарихын құжаттандыру орталығы» КММ</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Абай даңғылы, 84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52-22-63</w:t>
            </w:r>
          </w:p>
        </w:tc>
      </w:tr>
    </w:tbl>
    <w:bookmarkStart w:name="z28"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 қосымша</w:t>
      </w:r>
    </w:p>
    <w:bookmarkEnd w:id="9"/>
    <w:p>
      <w:pPr>
        <w:spacing w:after="0"/>
        <w:ind w:left="0"/>
        <w:jc w:val="left"/>
      </w:pPr>
      <w:r>
        <w:rPr>
          <w:rFonts w:ascii="Times New Roman"/>
          <w:b/>
          <w:i w:val="false"/>
          <w:color w:val="000000"/>
        </w:rPr>
        <w:t xml:space="preserve"> Шығыс Қазақстан облысының ХҚКО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208"/>
        <w:gridCol w:w="4772"/>
        <w:gridCol w:w="3247"/>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 РММ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78-42-36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даңғылы, 20/1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60-39-22</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көшесі, 99/1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55-24-78</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 Попович көшесі, 22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2-23-35</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Жангелдин көшесі, 52 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2-67-81</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Стахановская көшесі, 39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6-02-39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көшесі, 96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2-23-60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 Момышұлы көшесі, 37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2-13-10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Семипалатинская көшесі, 12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4-62-62</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Абылайхан көшесі, 23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2-24-96</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 кенті, 9 үй</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27-1-68</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3 ш/а., 12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3-41-00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Семей қ. халыққа қызмет көрсету орталығы» РММ</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 квартал көшесі, 21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33-55-93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Құнанбай көшесі, 12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9-22-64 8(72252) 9-23-39</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көшесі, 2 «А»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9-06-30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көшесі, 25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2-20-48</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қ., Достық көшесі, 98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6-54-00 8(72347) 6-55-03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Абай көшесі, 12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2-21-66</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көшесі, 38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2-21-71 8(72348) 2-11-94</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көшесі, 161 «А»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52-69-29 8(7222) 52-69-83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Ақтанберді көшесі, 28 «А»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5-24-32</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филиалы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даңғылы, 116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2-19-85 8(72230) 3-34-58</w:t>
            </w:r>
          </w:p>
        </w:tc>
      </w:tr>
    </w:tbl>
    <w:bookmarkStart w:name="z29"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 қосымша</w:t>
      </w:r>
    </w:p>
    <w:bookmarkEnd w:id="10"/>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әрекеттестіктің № 1 диаграммасы</w:t>
      </w:r>
    </w:p>
    <w:p>
      <w:pPr>
        <w:spacing w:after="0"/>
        <w:ind w:left="0"/>
        <w:jc w:val="both"/>
      </w:pPr>
      <w:r>
        <w:drawing>
          <wp:inline distT="0" distB="0" distL="0" distR="0">
            <wp:extent cx="101854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85400" cy="55118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кезіндегі функционалдық өзара әрекеттестіктің № 2 диаграммасы</w:t>
      </w:r>
    </w:p>
    <w:p>
      <w:pPr>
        <w:spacing w:after="0"/>
        <w:ind w:left="0"/>
        <w:jc w:val="both"/>
      </w:pPr>
      <w:r>
        <w:drawing>
          <wp:inline distT="0" distB="0" distL="0" distR="0">
            <wp:extent cx="101219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21900" cy="5486400"/>
                    </a:xfrm>
                    <a:prstGeom prst="rect">
                      <a:avLst/>
                    </a:prstGeom>
                  </pic:spPr>
                </pic:pic>
              </a:graphicData>
            </a:graphic>
          </wp:inline>
        </w:drawing>
      </w:r>
    </w:p>
    <w:p>
      <w:pPr>
        <w:spacing w:after="0"/>
        <w:ind w:left="0"/>
        <w:jc w:val="left"/>
      </w:pPr>
      <w:r>
        <w:rPr>
          <w:rFonts w:ascii="Times New Roman"/>
          <w:b/>
          <w:i w:val="false"/>
          <w:color w:val="000000"/>
        </w:rPr>
        <w:t xml:space="preserve"> ХҚКО АЖ арқылы электрондық мемлекеттік қызмет көрсету кезіндегі</w:t>
      </w:r>
      <w:r>
        <w:br/>
      </w:r>
      <w:r>
        <w:rPr>
          <w:rFonts w:ascii="Times New Roman"/>
          <w:b/>
          <w:i w:val="false"/>
          <w:color w:val="000000"/>
        </w:rPr>
        <w:t>
функционалдық өзара әрекеттестіктің № 3 диаграммасы</w:t>
      </w:r>
    </w:p>
    <w:p>
      <w:pPr>
        <w:spacing w:after="0"/>
        <w:ind w:left="0"/>
        <w:jc w:val="both"/>
      </w:pPr>
      <w:r>
        <w:drawing>
          <wp:inline distT="0" distB="0" distL="0" distR="0">
            <wp:extent cx="100203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20300" cy="5448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7658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65800" cy="6451600"/>
                    </a:xfrm>
                    <a:prstGeom prst="rect">
                      <a:avLst/>
                    </a:prstGeom>
                  </pic:spPr>
                </pic:pic>
              </a:graphicData>
            </a:graphic>
          </wp:inline>
        </w:drawing>
      </w:r>
    </w:p>
    <w:bookmarkStart w:name="z30"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 қосымша</w:t>
      </w:r>
    </w:p>
    <w:bookmarkEnd w:id="11"/>
    <w:p>
      <w:pPr>
        <w:spacing w:after="0"/>
        <w:ind w:left="0"/>
        <w:jc w:val="left"/>
      </w:pPr>
      <w:r>
        <w:rPr>
          <w:rFonts w:ascii="Times New Roman"/>
          <w:b/>
          <w:i w:val="false"/>
          <w:color w:val="000000"/>
        </w:rPr>
        <w:t xml:space="preserve"> Электрондық мемлекеттік қызметке арналған экрандық нысандар 1 қадам. Мемлекеттік органды таңдау</w:t>
      </w:r>
    </w:p>
    <w:p>
      <w:pPr>
        <w:spacing w:after="0"/>
        <w:ind w:left="0"/>
        <w:jc w:val="both"/>
      </w:pPr>
      <w:r>
        <w:drawing>
          <wp:inline distT="0" distB="0" distL="0" distR="0">
            <wp:extent cx="99568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56800" cy="4762500"/>
                    </a:xfrm>
                    <a:prstGeom prst="rect">
                      <a:avLst/>
                    </a:prstGeom>
                  </pic:spPr>
                </pic:pic>
              </a:graphicData>
            </a:graphic>
          </wp:inline>
        </w:drawing>
      </w:r>
    </w:p>
    <w:p>
      <w:pPr>
        <w:spacing w:after="0"/>
        <w:ind w:left="0"/>
        <w:jc w:val="left"/>
      </w:pPr>
      <w:r>
        <w:rPr>
          <w:rFonts w:ascii="Times New Roman"/>
          <w:b/>
          <w:i w:val="false"/>
          <w:color w:val="000000"/>
        </w:rPr>
        <w:t xml:space="preserve"> 2 қадам. Мемлекеттік қызметті таңдау</w:t>
      </w:r>
    </w:p>
    <w:p>
      <w:pPr>
        <w:spacing w:after="0"/>
        <w:ind w:left="0"/>
        <w:jc w:val="both"/>
      </w:pPr>
      <w:r>
        <w:drawing>
          <wp:inline distT="0" distB="0" distL="0" distR="0">
            <wp:extent cx="99060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0" cy="5029200"/>
                    </a:xfrm>
                    <a:prstGeom prst="rect">
                      <a:avLst/>
                    </a:prstGeom>
                  </pic:spPr>
                </pic:pic>
              </a:graphicData>
            </a:graphic>
          </wp:inline>
        </w:drawing>
      </w:r>
    </w:p>
    <w:p>
      <w:pPr>
        <w:spacing w:after="0"/>
        <w:ind w:left="0"/>
        <w:jc w:val="left"/>
      </w:pPr>
      <w:r>
        <w:rPr>
          <w:rFonts w:ascii="Times New Roman"/>
          <w:b/>
          <w:i w:val="false"/>
          <w:color w:val="000000"/>
        </w:rPr>
        <w:t xml:space="preserve"> 3 қадам. Мемлекеттік қызмет түрін таңдау</w:t>
      </w:r>
    </w:p>
    <w:p>
      <w:pPr>
        <w:spacing w:after="0"/>
        <w:ind w:left="0"/>
        <w:jc w:val="both"/>
      </w:pPr>
      <w:r>
        <w:drawing>
          <wp:inline distT="0" distB="0" distL="0" distR="0">
            <wp:extent cx="98679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867900" cy="5321300"/>
                    </a:xfrm>
                    <a:prstGeom prst="rect">
                      <a:avLst/>
                    </a:prstGeom>
                  </pic:spPr>
                </pic:pic>
              </a:graphicData>
            </a:graphic>
          </wp:inline>
        </w:drawing>
      </w:r>
    </w:p>
    <w:p>
      <w:pPr>
        <w:spacing w:after="0"/>
        <w:ind w:left="0"/>
        <w:jc w:val="left"/>
      </w:pPr>
      <w:r>
        <w:rPr>
          <w:rFonts w:ascii="Times New Roman"/>
          <w:b/>
          <w:i w:val="false"/>
          <w:color w:val="000000"/>
        </w:rPr>
        <w:t xml:space="preserve"> 4 қадам. Авторландыру</w:t>
      </w:r>
    </w:p>
    <w:p>
      <w:pPr>
        <w:spacing w:after="0"/>
        <w:ind w:left="0"/>
        <w:jc w:val="both"/>
      </w:pPr>
      <w:r>
        <w:drawing>
          <wp:inline distT="0" distB="0" distL="0" distR="0">
            <wp:extent cx="99314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31400" cy="5778500"/>
                    </a:xfrm>
                    <a:prstGeom prst="rect">
                      <a:avLst/>
                    </a:prstGeom>
                  </pic:spPr>
                </pic:pic>
              </a:graphicData>
            </a:graphic>
          </wp:inline>
        </w:drawing>
      </w:r>
    </w:p>
    <w:p>
      <w:pPr>
        <w:spacing w:after="0"/>
        <w:ind w:left="0"/>
        <w:jc w:val="left"/>
      </w:pPr>
      <w:r>
        <w:rPr>
          <w:rFonts w:ascii="Times New Roman"/>
          <w:b/>
          <w:i w:val="false"/>
          <w:color w:val="000000"/>
        </w:rPr>
        <w:t xml:space="preserve"> 5 қадам. Сұрауды толтыру – жеке тұлғаның деректерін енгізу</w:t>
      </w:r>
    </w:p>
    <w:p>
      <w:pPr>
        <w:spacing w:after="0"/>
        <w:ind w:left="0"/>
        <w:jc w:val="both"/>
      </w:pPr>
      <w:r>
        <w:drawing>
          <wp:inline distT="0" distB="0" distL="0" distR="0">
            <wp:extent cx="99568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956800" cy="5435600"/>
                    </a:xfrm>
                    <a:prstGeom prst="rect">
                      <a:avLst/>
                    </a:prstGeom>
                  </pic:spPr>
                </pic:pic>
              </a:graphicData>
            </a:graphic>
          </wp:inline>
        </w:drawing>
      </w:r>
    </w:p>
    <w:p>
      <w:pPr>
        <w:spacing w:after="0"/>
        <w:ind w:left="0"/>
        <w:jc w:val="left"/>
      </w:pPr>
      <w:r>
        <w:rPr>
          <w:rFonts w:ascii="Times New Roman"/>
          <w:b/>
          <w:i w:val="false"/>
          <w:color w:val="000000"/>
        </w:rPr>
        <w:t xml:space="preserve"> 6 қадам. Сұрауға қол қою</w:t>
      </w:r>
    </w:p>
    <w:p>
      <w:pPr>
        <w:spacing w:after="0"/>
        <w:ind w:left="0"/>
        <w:jc w:val="both"/>
      </w:pPr>
      <w:r>
        <w:drawing>
          <wp:inline distT="0" distB="0" distL="0" distR="0">
            <wp:extent cx="99060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906000" cy="5664200"/>
                    </a:xfrm>
                    <a:prstGeom prst="rect">
                      <a:avLst/>
                    </a:prstGeom>
                  </pic:spPr>
                </pic:pic>
              </a:graphicData>
            </a:graphic>
          </wp:inline>
        </w:drawing>
      </w:r>
    </w:p>
    <w:bookmarkStart w:name="z31"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 қосымша</w:t>
      </w:r>
    </w:p>
    <w:bookmarkEnd w:id="12"/>
    <w:p>
      <w:pPr>
        <w:spacing w:after="0"/>
        <w:ind w:left="0"/>
        <w:jc w:val="left"/>
      </w:pPr>
      <w:r>
        <w:rPr>
          <w:rFonts w:ascii="Times New Roman"/>
          <w:b/>
          <w:i w:val="false"/>
          <w:color w:val="000000"/>
        </w:rPr>
        <w:t xml:space="preserve"> 1 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827"/>
        <w:gridCol w:w="2403"/>
        <w:gridCol w:w="2685"/>
        <w:gridCol w:w="2403"/>
        <w:gridCol w:w="1979"/>
      </w:tblGrid>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5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 ЖСН және паролі бойынша авторландырылады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деректерiндегi бұзушылықтардың болуына байланысты бас тарту хабарламасын қалыптастырады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таңдаумен қызметті таңдайды және сұраудың деректерiн 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деректеріндегі бұзушылықтардың болуына байланысты бас тарту туралы хабарламаны қалыптастырады</w:t>
            </w:r>
          </w:p>
        </w:tc>
      </w:tr>
      <w:tr>
        <w:trPr>
          <w:trHeight w:val="13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r>
      <w:tr>
        <w:trPr>
          <w:trHeight w:val="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бар болса; 3 – егер авторландырудан сәтті өтсе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бар болса; 5 – егер бұзушылықтар жоқ болса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2907"/>
        <w:gridCol w:w="2180"/>
        <w:gridCol w:w="2362"/>
        <w:gridCol w:w="2908"/>
        <w:gridCol w:w="2000"/>
      </w:tblGrid>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159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арқылы сұрауды куәландыру (қолтаңбаны қою) және сұрауды қызмет көрсетушінің АЖО жіберу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деректерiнде бұзушылықтардың болуына байланысты сұрау салынған қызметтi көрсетуден бас тарту туралы хабарламаны қалыптастыру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нәтижесiн (мұрағаттық анықтаманың дайындығы туралы электрондық нысандағы хабарламаны) алуы</w:t>
            </w:r>
          </w:p>
        </w:tc>
      </w:tr>
      <w:tr>
        <w:trPr>
          <w:trHeight w:val="130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шығару</w:t>
            </w:r>
          </w:p>
        </w:tc>
      </w:tr>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2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күнтізбелік 30 – күннен аспайтын мерзімге ұзартылуы мүмкін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бұзушылықтар бар болса; 8 – егер бұзушылықтар жоқ болса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Қызмет көрсетуші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431"/>
        <w:gridCol w:w="3180"/>
        <w:gridCol w:w="2432"/>
        <w:gridCol w:w="2058"/>
        <w:gridCol w:w="2246"/>
      </w:tblGrid>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r>
      <w:tr>
        <w:trPr>
          <w:trHeight w:val="9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паролі арқылы қызмет көрсетушінің АЖО авторландырады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 таңдауы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туралы сұрауды жіберу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алушының деректерi болмауы туралы хабарламаны қалыптастыру</w:t>
            </w:r>
          </w:p>
        </w:tc>
      </w:tr>
      <w:tr>
        <w:trPr>
          <w:trHeight w:val="16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4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 5 – егер бұзушылықтар болмаса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452"/>
        <w:gridCol w:w="1817"/>
        <w:gridCol w:w="2544"/>
        <w:gridCol w:w="2362"/>
        <w:gridCol w:w="2182"/>
      </w:tblGrid>
      <w:tr>
        <w:trPr>
          <w:trHeight w:val="7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тіркеумен және ЭЦҚ куәландырумен сұраудың нысанын толтыру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қызметтің нәтижесін алуы</w:t>
            </w:r>
          </w:p>
        </w:tc>
      </w:tr>
      <w:tr>
        <w:trPr>
          <w:trHeight w:val="114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(мұрағаттық анықтаманы)</w:t>
            </w:r>
          </w:p>
        </w:tc>
      </w:tr>
      <w:tr>
        <w:trPr>
          <w:trHeight w:val="30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2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күнтізбелік 30 – күннен аспайтын мерзімге ұзартылуы мүмкін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8 – егер бұзушылықтар болмаса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ХҚКО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902"/>
        <w:gridCol w:w="1903"/>
        <w:gridCol w:w="1903"/>
        <w:gridCol w:w="2140"/>
        <w:gridCol w:w="2617"/>
        <w:gridCol w:w="1904"/>
      </w:tblGrid>
      <w:tr>
        <w:trPr>
          <w:trHeight w:val="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9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 және пароль арқылы авторландырылады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сұраудың деректерін қалыптастырады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БНАЖ–ға сұрауды жіберу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қажетті құжаттарды тіркеумен сұрауды толтыру және ЭЦҚ-мен куәландыру</w:t>
            </w:r>
          </w:p>
        </w:tc>
      </w:tr>
      <w:tr>
        <w:trPr>
          <w:trHeight w:val="12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өкім ету шешімі)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шығару</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6"/>
        <w:gridCol w:w="2336"/>
        <w:gridCol w:w="2466"/>
        <w:gridCol w:w="2596"/>
        <w:gridCol w:w="2467"/>
      </w:tblGrid>
      <w:tr>
        <w:trPr>
          <w:trHeight w:val="7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9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жолдау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қызметтің нәтижесін алуы</w:t>
            </w:r>
          </w:p>
        </w:tc>
      </w:tr>
      <w:tr>
        <w:trPr>
          <w:trHeight w:val="129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 өкім ету шешімі)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қалыптастыру (мұрағаттық анықтаманы)</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2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күнтізбелік 30 – күннен аспайтын мерзімге ұзартылуы мүмкін</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6 қосымша</w:t>
      </w:r>
    </w:p>
    <w:bookmarkEnd w:id="13"/>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3"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7 қосымша</w:t>
      </w:r>
    </w:p>
    <w:bookmarkEnd w:id="14"/>
    <w:p>
      <w:pPr>
        <w:spacing w:after="0"/>
        <w:ind w:left="0"/>
        <w:jc w:val="left"/>
      </w:pPr>
      <w:r>
        <w:rPr>
          <w:rFonts w:ascii="Times New Roman"/>
          <w:b/>
          <w:i w:val="false"/>
          <w:color w:val="000000"/>
        </w:rPr>
        <w:t xml:space="preserve"> Электрондық мемлекеттік қызметке арналған</w:t>
      </w:r>
      <w:r>
        <w:br/>
      </w:r>
      <w:r>
        <w:rPr>
          <w:rFonts w:ascii="Times New Roman"/>
          <w:b/>
          <w:i w:val="false"/>
          <w:color w:val="000000"/>
        </w:rPr>
        <w:t>
сауалнама-өтініштің экрандық нысаны</w:t>
      </w:r>
    </w:p>
    <w:p>
      <w:pPr>
        <w:spacing w:after="0"/>
        <w:ind w:left="0"/>
        <w:jc w:val="both"/>
      </w:pPr>
      <w:r>
        <w:drawing>
          <wp:inline distT="0" distB="0" distL="0" distR="0">
            <wp:extent cx="8178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78800" cy="7607300"/>
                    </a:xfrm>
                    <a:prstGeom prst="rect">
                      <a:avLst/>
                    </a:prstGeom>
                  </pic:spPr>
                </pic:pic>
              </a:graphicData>
            </a:graphic>
          </wp:inline>
        </w:drawing>
      </w:r>
    </w:p>
    <w:p>
      <w:pPr>
        <w:spacing w:after="0"/>
        <w:ind w:left="0"/>
        <w:jc w:val="left"/>
      </w:pPr>
      <w:r>
        <w:rPr>
          <w:rFonts w:ascii="Times New Roman"/>
          <w:b/>
          <w:i w:val="false"/>
          <w:color w:val="000000"/>
        </w:rPr>
        <w:t xml:space="preserve"> Электрондық мемлекеттік қызметке арналған оң жауаптың</w:t>
      </w:r>
      <w:r>
        <w:br/>
      </w:r>
      <w:r>
        <w:rPr>
          <w:rFonts w:ascii="Times New Roman"/>
          <w:b/>
          <w:i w:val="false"/>
          <w:color w:val="000000"/>
        </w:rPr>
        <w:t>
(мұрағаттық анықтаманың) шығу нысаны</w:t>
      </w:r>
    </w:p>
    <w:p>
      <w:pPr>
        <w:spacing w:after="0"/>
        <w:ind w:left="0"/>
        <w:jc w:val="both"/>
      </w:pPr>
      <w:r>
        <w:drawing>
          <wp:inline distT="0" distB="0" distL="0" distR="0">
            <wp:extent cx="9385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85300" cy="1460500"/>
                    </a:xfrm>
                    <a:prstGeom prst="rect">
                      <a:avLst/>
                    </a:prstGeom>
                  </pic:spPr>
                </pic:pic>
              </a:graphicData>
            </a:graphic>
          </wp:inline>
        </w:drawing>
      </w:r>
    </w:p>
    <w:p>
      <w:pPr>
        <w:spacing w:after="0"/>
        <w:ind w:left="0"/>
        <w:jc w:val="left"/>
      </w:pPr>
      <w:r>
        <w:rPr>
          <w:rFonts w:ascii="Times New Roman"/>
          <w:b/>
          <w:i w:val="false"/>
          <w:color w:val="000000"/>
        </w:rPr>
        <w:t xml:space="preserve"> МҰРАҒАТТЫҚ АНЫҚТАМА</w:t>
      </w:r>
    </w:p>
    <w:p>
      <w:pPr>
        <w:spacing w:after="0"/>
        <w:ind w:left="0"/>
        <w:jc w:val="both"/>
      </w:pPr>
      <w:r>
        <w:rPr>
          <w:rFonts w:ascii="Times New Roman"/>
          <w:b w:val="false"/>
          <w:i w:val="false"/>
          <w:color w:val="000000"/>
          <w:sz w:val="28"/>
        </w:rPr>
        <w:t>      Өтініш беруші:_____________________________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color w:val="000000"/>
          <w:sz w:val="28"/>
        </w:rPr>
        <w:t>(жеке тұлғаның Т.А.Ә. немесе заңды тұлғаның атауы)</w:t>
      </w:r>
      <w:r>
        <w:br/>
      </w:r>
      <w:r>
        <w:rPr>
          <w:rFonts w:ascii="Times New Roman"/>
          <w:b w:val="false"/>
          <w:i w:val="false"/>
          <w:color w:val="000000"/>
          <w:sz w:val="28"/>
        </w:rPr>
        <w:t>
Мұрағаттық анықтаманың түрі: ____________________</w:t>
      </w:r>
      <w:r>
        <w:br/>
      </w: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Анықтаманың сұратылып отырған кезеңі:____________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color w:val="000000"/>
          <w:sz w:val="28"/>
        </w:rPr>
        <w:t>(мұрағаттық анықтаманың мазмұны көрсетіледі)</w:t>
      </w:r>
      <w:r>
        <w:br/>
      </w:r>
      <w:r>
        <w:rPr>
          <w:rFonts w:ascii="Times New Roman"/>
          <w:b w:val="false"/>
          <w:i w:val="false"/>
          <w:color w:val="000000"/>
          <w:sz w:val="28"/>
        </w:rPr>
        <w:t>
Негіздеме:_______________________________________</w:t>
      </w:r>
    </w:p>
    <w:p>
      <w:pPr>
        <w:spacing w:after="0"/>
        <w:ind w:left="0"/>
        <w:jc w:val="both"/>
      </w:pPr>
      <w:r>
        <w:rPr>
          <w:rFonts w:ascii="Times New Roman"/>
          <w:b w:val="false"/>
          <w:i w:val="false"/>
          <w:color w:val="000000"/>
          <w:sz w:val="28"/>
        </w:rPr>
        <w:t>Мұрағаттың директоры:____________________________</w:t>
      </w:r>
      <w:r>
        <w:br/>
      </w:r>
      <w:r>
        <w:rPr>
          <w:rFonts w:ascii="Times New Roman"/>
          <w:b w:val="false"/>
          <w:i w:val="false"/>
          <w:color w:val="000000"/>
          <w:sz w:val="28"/>
        </w:rPr>
        <w:t>
                              </w:t>
      </w:r>
      <w:r>
        <w:rPr>
          <w:rFonts w:ascii="Times New Roman"/>
          <w:b w:val="false"/>
          <w:i/>
          <w:color w:val="000000"/>
          <w:sz w:val="28"/>
        </w:rPr>
        <w:t>(Т.А.Ә.)</w:t>
      </w:r>
    </w:p>
    <w:p>
      <w:pPr>
        <w:spacing w:after="0"/>
        <w:ind w:left="0"/>
        <w:jc w:val="both"/>
      </w:pPr>
      <w:r>
        <w:rPr>
          <w:rFonts w:ascii="Times New Roman"/>
          <w:b w:val="false"/>
          <w:i w:val="false"/>
          <w:color w:val="000000"/>
          <w:sz w:val="28"/>
        </w:rPr>
        <w:t>Мұрағатшы:_______________________________________</w:t>
      </w:r>
      <w:r>
        <w:br/>
      </w:r>
      <w:r>
        <w:rPr>
          <w:rFonts w:ascii="Times New Roman"/>
          <w:b w:val="false"/>
          <w:i w:val="false"/>
          <w:color w:val="000000"/>
          <w:sz w:val="28"/>
        </w:rPr>
        <w:t>
                           </w:t>
      </w:r>
      <w:r>
        <w:rPr>
          <w:rFonts w:ascii="Times New Roman"/>
          <w:b w:val="false"/>
          <w:i/>
          <w:color w:val="000000"/>
          <w:sz w:val="28"/>
        </w:rPr>
        <w:t>(Т.А.Ә.)</w:t>
      </w:r>
    </w:p>
    <w:p>
      <w:pPr>
        <w:spacing w:after="0"/>
        <w:ind w:left="0"/>
        <w:jc w:val="both"/>
      </w:pPr>
      <w:r>
        <w:rPr>
          <w:rFonts w:ascii="Times New Roman"/>
          <w:b w:val="false"/>
          <w:i w:val="false"/>
          <w:color w:val="000000"/>
          <w:sz w:val="28"/>
        </w:rPr>
        <w:t>Анықтамаға қоса беріліп отырған</w:t>
      </w:r>
      <w:r>
        <w:br/>
      </w:r>
      <w:r>
        <w:rPr>
          <w:rFonts w:ascii="Times New Roman"/>
          <w:b w:val="false"/>
          <w:i w:val="false"/>
          <w:color w:val="000000"/>
          <w:sz w:val="28"/>
        </w:rPr>
        <w:t>
құжаттар:________________________________________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