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b1cc" w14:textId="2e8b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 тамыздағы № 755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деген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802</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006007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w:t>
            </w:r>
          </w:p>
          <w:p>
            <w:pPr>
              <w:spacing w:after="20"/>
              <w:ind w:left="20"/>
              <w:jc w:val="both"/>
            </w:pPr>
            <w:r>
              <w:rPr>
                <w:rFonts w:ascii="Times New Roman"/>
                <w:b w:val="false"/>
                <w:i w:val="false"/>
                <w:color w:val="000000"/>
                <w:sz w:val="20"/>
              </w:rPr>
              <w:t>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802</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 орындары көрсететін қызметтер" деген бөлімі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p>
            <w:pPr>
              <w:spacing w:after="20"/>
              <w:ind w:left="20"/>
              <w:jc w:val="both"/>
            </w:pPr>
            <w:r>
              <w:rPr>
                <w:rFonts w:ascii="Times New Roman"/>
                <w:b w:val="false"/>
                <w:i w:val="false"/>
                <w:color w:val="000000"/>
                <w:sz w:val="20"/>
              </w:rPr>
              <w:t>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p>
            <w:pPr>
              <w:spacing w:after="20"/>
              <w:ind w:left="20"/>
              <w:jc w:val="both"/>
            </w:pPr>
            <w:r>
              <w:rPr>
                <w:rFonts w:ascii="Times New Roman"/>
                <w:b w:val="false"/>
                <w:i w:val="false"/>
                <w:color w:val="000000"/>
                <w:sz w:val="20"/>
              </w:rPr>
              <w:t>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xml:space="preserve">
1) еңбекке ақы төлеу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w:t>
            </w:r>
          </w:p>
          <w:p>
            <w:pPr>
              <w:spacing w:after="20"/>
              <w:ind w:left="20"/>
              <w:jc w:val="both"/>
            </w:pPr>
            <w:r>
              <w:rPr>
                <w:rFonts w:ascii="Times New Roman"/>
                <w:b w:val="false"/>
                <w:i w:val="false"/>
                <w:color w:val="000000"/>
                <w:sz w:val="20"/>
              </w:rPr>
              <w:t>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материалдарын, жиһаздар, мүкәммалдар сатып алуға;</w:t>
            </w:r>
          </w:p>
          <w:p>
            <w:pPr>
              <w:spacing w:after="20"/>
              <w:ind w:left="20"/>
              <w:jc w:val="both"/>
            </w:pPr>
            <w:r>
              <w:rPr>
                <w:rFonts w:ascii="Times New Roman"/>
                <w:b w:val="false"/>
                <w:i w:val="false"/>
                <w:color w:val="000000"/>
                <w:sz w:val="20"/>
              </w:rPr>
              <w:t>
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4) оқу-материалдық базаны нығайтуға;</w:t>
            </w:r>
          </w:p>
          <w:p>
            <w:pPr>
              <w:spacing w:after="20"/>
              <w:ind w:left="20"/>
              <w:jc w:val="both"/>
            </w:pPr>
            <w:r>
              <w:rPr>
                <w:rFonts w:ascii="Times New Roman"/>
                <w:b w:val="false"/>
                <w:i w:val="false"/>
                <w:color w:val="000000"/>
                <w:sz w:val="20"/>
              </w:rPr>
              <w:t>
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6) оқу, ғылыми және әдістемелік материалдарды басып шығаруға;</w:t>
            </w:r>
          </w:p>
          <w:p>
            <w:pPr>
              <w:spacing w:after="20"/>
              <w:ind w:left="20"/>
              <w:jc w:val="both"/>
            </w:pPr>
            <w:r>
              <w:rPr>
                <w:rFonts w:ascii="Times New Roman"/>
                <w:b w:val="false"/>
                <w:i w:val="false"/>
                <w:color w:val="000000"/>
                <w:sz w:val="20"/>
              </w:rPr>
              <w:t>
7) ұлттық қауіпсіздік органдары оқу орындарының қызметкерлері, әскери қызметшілері мен жұмыскерлерінің біліктілігін арттыруға және тағылымдамадан өтуге;</w:t>
            </w:r>
          </w:p>
          <w:p>
            <w:pPr>
              <w:spacing w:after="20"/>
              <w:ind w:left="20"/>
              <w:jc w:val="both"/>
            </w:pPr>
            <w:r>
              <w:rPr>
                <w:rFonts w:ascii="Times New Roman"/>
                <w:b w:val="false"/>
                <w:i w:val="false"/>
                <w:color w:val="000000"/>
                <w:sz w:val="20"/>
              </w:rPr>
              <w:t>
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9) электрондық ақпараттық ресурстарды немесе оларды пайдалану құқығын сатып алуға;</w:t>
            </w:r>
          </w:p>
          <w:p>
            <w:pPr>
              <w:spacing w:after="20"/>
              <w:ind w:left="20"/>
              <w:jc w:val="both"/>
            </w:pPr>
            <w:r>
              <w:rPr>
                <w:rFonts w:ascii="Times New Roman"/>
                <w:b w:val="false"/>
                <w:i w:val="false"/>
                <w:color w:val="000000"/>
                <w:sz w:val="20"/>
              </w:rPr>
              <w:t>
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11) үй-жайларды, жабдықтар мен техниканы жалға алуға;</w:t>
            </w:r>
          </w:p>
          <w:p>
            <w:pPr>
              <w:spacing w:after="20"/>
              <w:ind w:left="20"/>
              <w:jc w:val="both"/>
            </w:pPr>
            <w:r>
              <w:rPr>
                <w:rFonts w:ascii="Times New Roman"/>
                <w:b w:val="false"/>
                <w:i w:val="false"/>
                <w:color w:val="000000"/>
                <w:sz w:val="20"/>
              </w:rPr>
              <w:t>
12) кәдесый өнімдерін сатып алуға;</w:t>
            </w:r>
          </w:p>
          <w:p>
            <w:pPr>
              <w:spacing w:after="20"/>
              <w:ind w:left="20"/>
              <w:jc w:val="both"/>
            </w:pPr>
            <w:r>
              <w:rPr>
                <w:rFonts w:ascii="Times New Roman"/>
                <w:b w:val="false"/>
                <w:i w:val="false"/>
                <w:color w:val="000000"/>
                <w:sz w:val="20"/>
              </w:rPr>
              <w:t>
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20"/>
              <w:ind w:left="20"/>
              <w:jc w:val="both"/>
            </w:pPr>
            <w:r>
              <w:rPr>
                <w:rFonts w:ascii="Times New Roman"/>
                <w:b w:val="false"/>
                <w:i w:val="false"/>
                <w:color w:val="000000"/>
                <w:sz w:val="20"/>
              </w:rPr>
              <w:t>
19) қосымша білім беру бағдарламаларын өткізу шеңберінде кофе-брейктерді ұйымдастыру және өткізу қызметтеріне ақы төлеуге;</w:t>
            </w:r>
          </w:p>
          <w:p>
            <w:pPr>
              <w:spacing w:after="20"/>
              <w:ind w:left="20"/>
              <w:jc w:val="both"/>
            </w:pPr>
            <w:r>
              <w:rPr>
                <w:rFonts w:ascii="Times New Roman"/>
                <w:b w:val="false"/>
                <w:i w:val="false"/>
                <w:color w:val="000000"/>
                <w:sz w:val="20"/>
              </w:rPr>
              <w:t>
20) қосымша білім беру бағдарламалары шеңберінде ақылы білім беру қызметтерін көрсету үшін тартылатын мамандардың (оның ішінде ұлттық қауіпсіздік органдары оқу орындарының кадр құрамы қатарынан) қызметтеріне ақы төлеуге жұмсалады (131, 135, 136, 144, 149, 151, 152, 153, 154, 159, 161, 162, 169, 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"Қазақстан Республикасы Төтенше жағдайлар министрлігінің әскери және арнаулы оқу орындары көрсететін қызметтер" деген бөлімі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w:t>
            </w:r>
          </w:p>
          <w:p>
            <w:pPr>
              <w:spacing w:after="20"/>
              <w:ind w:left="20"/>
              <w:jc w:val="both"/>
            </w:pPr>
            <w:r>
              <w:rPr>
                <w:rFonts w:ascii="Times New Roman"/>
                <w:b w:val="false"/>
                <w:i w:val="false"/>
                <w:color w:val="000000"/>
                <w:sz w:val="20"/>
              </w:rPr>
              <w:t>
(111, 112, 113,121,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туралы"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18028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