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17a6" w14:textId="2aa1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Целиноград аудандық мәслихатының 2021 жылғы 30 қарашадағы № 86/16-7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Целиноград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алуға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2021 жылғы 30 қараша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p>
          <w:p>
            <w:pPr>
              <w:spacing w:after="20"/>
              <w:ind w:left="20"/>
              <w:jc w:val="both"/>
            </w:pPr>
          </w:p>
          <w:p>
            <w:pPr>
              <w:spacing w:after="20"/>
              <w:ind w:left="20"/>
              <w:jc w:val="both"/>
            </w:pPr>
            <w:r>
              <w:rPr>
                <w:rFonts w:ascii="Times New Roman"/>
                <w:b w:val="false"/>
                <w:i/>
                <w:color w:val="000000"/>
                <w:sz w:val="20"/>
              </w:rPr>
              <w:t>экономика және қаржы бөлімі"</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Б.Куликенов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2021 жылғы 30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