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08d" w14:textId="2edd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24 сәуірдегі № 238/29 шешімі. Павлодар облысының Әділет департаментінде 2025 жылғы 29 сәуірде № 7660-14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2023 жылғы 13 қазандағы № 80/8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7405-14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көрсетудің, оның мөлшерлерiн белгiлеудің және Екібастұз қаласы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"8. Атаулы күндер мен мереке күндеріне келесі санаттағы азаматтарға табыс есебінсіз біржолғы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қызметшiлеріне50 (елу)АЕК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(елу)АЕК мөлшерінде;</w:t>
      </w:r>
    </w:p>
    <w:p>
      <w:pPr>
        <w:spacing w:after="0"/>
        <w:ind w:left="0"/>
        <w:jc w:val="both"/>
      </w:pPr>
      <w:r>
        <w:rPr>
          <w:rFonts w:ascii="Times New Roman"/>
          <w:b w:val="false"/>
          <w:i w:val="false"/>
          <w:color w:val="000000"/>
          <w:sz w:val="28"/>
        </w:rPr>
        <w:t>
      2 ) 8 наурыз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көпбалалы аналарына (отбасыларына) 5 (бес) (АЕК) мөлшерінде;</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балаларына50 (елу)АЕК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4 ) 7 мамыр – Отан қорғаушы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(елу)АЕК мөлшерінде;</w:t>
      </w:r>
    </w:p>
    <w:p>
      <w:pPr>
        <w:spacing w:after="0"/>
        <w:ind w:left="0"/>
        <w:jc w:val="both"/>
      </w:pPr>
      <w:r>
        <w:rPr>
          <w:rFonts w:ascii="Times New Roman"/>
          <w:b w:val="false"/>
          <w:i w:val="false"/>
          <w:color w:val="000000"/>
          <w:sz w:val="28"/>
        </w:rPr>
        <w:t>
      5) 9 мамыр –Жеңіс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7)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8) 1 қазан - Карттар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9)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10)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"Жаппай саяси қуғын-сүргіндер құрбандарын оңалту туралы" Қазақстан Республикасының Заңымен белгіленген 1986 жылғы 17-18 желтоқсандағы Қазақстандағы оқиғаларға қатысқан адамдар 60(алпыс)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"22. Әлеуметтік көмек көрсетуге жұмсалатын шығыстарды қаржыландыру Екібастұз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