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7e8" w14:textId="9d99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Алатау қаласының шекарасын (шегін)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9 тамыздағы № 25-123 бірлескен шешімі және Алматы облысы әкімдігінің 2024 жылғы 9 тамыздағы № 253 қаулысы. Алматы облысы Әділет департаментінде 2024 жылғы 13 тамызда № 6148-05 болып тіркелді. Күші жойылды - Алматы облыстық мәслихатының 2024 жылғы 25 қыркүйектегі № 26-135 бірлескен шешімімен және Алматы облысы әкімдігінің 2024 жылғы 25 қыркүйектегі № 299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26-135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шешімімен және Алматы облысы әкімдігінің 25.09.2024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Алатау қаласы мәслихатының және Алатау қаласы әкімдігінің бірлескен ұсынысы негізінде, Алматы облыстық мәслихаты ШЕШІМ ҚАБЫЛДАДЫ және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Алматы облыстық мәслихаты шешімінің және Алматы облысының әкімдігі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Алатау қаласының шекарасы (шегі), оның шегіне жалпы ауданы 88267,0086 гектар Қонаев қаласының, Іле және Талғар аудандарының кейбір жерлерін қоса отырып,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Алматы облыстық мәслихаты шешімінің және Алматы облысының әкімдігі қаулысының орындалуын бақылау Алматы облысы әкімінің жетекшілік ететін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облыстық мәслихатының шешімі және Алматы облысы әкімдігінің қаулысы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 2024 жылғы 9 тамыздағы № 253 мен Алматы облыстық мәслихатының 2024 жылғы 9 тамыздағы № 25-123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Алатау қаласының шекарасына енгізілетін жерлердің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ауданы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округтердің)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шаруашы-лығы мақсатындағы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қызметінің, қорғаныстың, ұлттық қауіпсіздіктің мұқтаждары үшін және өзге де ауыл шаруашылық емес мақсаттағы жерлер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рекше қорғалатын табиғи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аумақтар, сауықтыру, рекреациялық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мақсаттағы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қоры-ның жерлері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қоры-ның жерлері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10937,0052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2899,2998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2990,8968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45152,9732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8305,8326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88267,0086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56323,9122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12266,6646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8583,324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Схемалық карта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1000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