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6b3" w14:textId="b9d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2024 жылғы 21 мамырдағы № а-5/101 бірлескен қаулысы және Ақмола облысы Есіл аудандық мәслихатының 2024 жылғы 21 мамырдағы № 8С-21/3 шешімі. Ақмола облысының Әділет департаментінде 2024 жылғы 3 маусымда № 8766-03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 және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