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6e42" w14:textId="33b6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қорғаныстық маңызы бар жолдарды пайдалану қағидаларын бекіту туралы" Қазақстан Республикасы Инвестициялар және даму министрінің 2015 жылғы 29 желтоқсандағы № 1267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21 қарашадағы № 85 бұйрығы. Қазақстан Республикасының Әділет министрлігінде 2023 жылғы 22 қарашада № 33666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жолдарын, қорғаныстық маңызы бар жолдарды пайдалану қағидаларын бекіту туралы" Қазақстан Республикасы Инвестициялар және даму министрінің 2015 жылғы 29 желтоқсандағы № 1267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13524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жолдарын, қорғаныстық маңызы бар жолдарды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1"/>
    <w:p>
      <w:pPr>
        <w:spacing w:after="0"/>
        <w:ind w:left="0"/>
        <w:jc w:val="both"/>
      </w:pPr>
      <w:r>
        <w:rPr>
          <w:rFonts w:ascii="Times New Roman"/>
          <w:b w:val="false"/>
          <w:i w:val="false"/>
          <w:color w:val="000000"/>
          <w:sz w:val="28"/>
        </w:rPr>
        <w:t>
      "1-тарау.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2"/>
    <w:p>
      <w:pPr>
        <w:spacing w:after="0"/>
        <w:ind w:left="0"/>
        <w:jc w:val="both"/>
      </w:pPr>
      <w:r>
        <w:rPr>
          <w:rFonts w:ascii="Times New Roman"/>
          <w:b w:val="false"/>
          <w:i w:val="false"/>
          <w:color w:val="000000"/>
          <w:sz w:val="28"/>
        </w:rPr>
        <w:t>
      "2-тарау. Автомобиль жолдарын, қорғаныстық маңызы бар жолдарды пайдалану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"9) ақы алу пунктінде, ол бар болған жағдайда, ақылы учаскелер бойынша жол жүру ақысын төлейді және/немесе автокөлік құралының дербес шотында немесе мемлекеттік тіркеу нөмірлік белгісінің шотында ақша қаражаты болған кезде бақылау аркаларында есептен шығарады; </w:t>
      </w:r>
    </w:p>
    <w:bookmarkEnd w:id="3"/>
    <w:bookmarkStart w:name="z10" w:id="4"/>
    <w:p>
      <w:pPr>
        <w:spacing w:after="0"/>
        <w:ind w:left="0"/>
        <w:jc w:val="both"/>
      </w:pPr>
      <w:r>
        <w:rPr>
          <w:rFonts w:ascii="Times New Roman"/>
          <w:b w:val="false"/>
          <w:i w:val="false"/>
          <w:color w:val="000000"/>
          <w:sz w:val="28"/>
        </w:rPr>
        <w:t>
      10) төлеу тәсілдері және (немесе) көлік құралының техникалық сипаттамалары бойынша сараланған, орнатылған ақпараттық таблоға сәйкес көлік құралдарының тиісті жол жүру белдеуі бойынша жүріп өтуді жүзеге асырады,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органның аумақтық бөлімшелерімен бірігіп автовокзалдардың, ұйымдардың кезекші-диспетчерлік қызметтеріне, сондай-ақ жол жүрісі қауіпсіздігін қамтамасыз ету жөніндегі уәкілетті органның көрші облыстардағы аумақтық бөлімшелеріне және шекаралас мемлекеттердiң төтенше жағдайлар бойынша мемлекеттiк органдарына олардың салдарының алдын алу және оларды жою бойынша жедел шараларды қолдануы және көмек көрсетуі үшін хабарлайды;";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иелерінің тиісті келісімінсіз, сондай-ақ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мемлекеттік сәулет-құрылыс бақылауын жүзеге асыратын органдарды хабардар етпей, жөндеу және құрылыс-монтаждау жұмыстарын жүргізуге;";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20658 болып тіркелген) сәйкес қандай да болсын коммуникацияларды (мұнай құбыры, су құбыры, байланыс және электр беру желілері, газ құбыры, кәріз төсеу) топырақ төсеміне, сондай-ақ көпірдің және жол өткелінің астына салуға жол берілмейді.".</w:t>
      </w:r>
    </w:p>
    <w:bookmarkStart w:name="z18" w:id="6"/>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6"/>
    <w:bookmarkStart w:name="z1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8"/>
    <w:bookmarkStart w:name="z2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
    <w:bookmarkStart w:name="z2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