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7ee4" w14:textId="ab57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22 ақпандағы № 57 бұйрығы. Қазақстан Республикасының Әділет министрлігінде 2022 жылғы 2 наурызда № 26980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(нормативтік құқықтық актілерді мемлекеттік тіркеу тізілімінде № 11243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Азаматтық қорғау құралымдарын құру, ұстау, материалдық-техникалық қамтамасыз ету, даярлау және тарту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 мен ұйымдар құрған және азаматтық қорғау күштерінің құрамында бейбіт уақытта және соғыс уақытында авариялық-құтқару және кезек күттірмейтін жұмыстарды жүргізуге арналған құрылымдар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 тарау. Азаматтық қорғау құралымдарын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Азаматтық қорғау аумақтық құралымдарының жеке құрамының жалпы саны:</w:t>
      </w:r>
    </w:p>
    <w:p>
      <w:pPr>
        <w:spacing w:after="0"/>
        <w:ind w:left="0"/>
        <w:jc w:val="both"/>
      </w:pPr>
      <w:r>
        <w:rPr>
          <w:rFonts w:ascii="Times New Roman"/>
          <w:b w:val="false"/>
          <w:i w:val="false"/>
          <w:color w:val="000000"/>
          <w:sz w:val="28"/>
        </w:rPr>
        <w:t>
      жер сілкінісіне бейім өңірлер үшін зардап шеккен халықтың он адамына құралымның бір мүшесі есебінен;</w:t>
      </w:r>
    </w:p>
    <w:p>
      <w:pPr>
        <w:spacing w:after="0"/>
        <w:ind w:left="0"/>
        <w:jc w:val="both"/>
      </w:pPr>
      <w:r>
        <w:rPr>
          <w:rFonts w:ascii="Times New Roman"/>
          <w:b w:val="false"/>
          <w:i w:val="false"/>
          <w:color w:val="000000"/>
          <w:sz w:val="28"/>
        </w:rPr>
        <w:t>
      басқа өңірлер үшін зардап шеккен халықтың жиырма адамына құралымның бір мүшесі есебінен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Азаматтық қорғау құралымдарының құрамын және жарақтау нормаларын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қорғау құралымдарының жұмыстарды жүргізуінің бағдарлық мүмкіндіктері негізінде ұйымдар басшысы бекітеді.</w:t>
      </w:r>
    </w:p>
    <w:p>
      <w:pPr>
        <w:spacing w:after="0"/>
        <w:ind w:left="0"/>
        <w:jc w:val="both"/>
      </w:pPr>
      <w:r>
        <w:rPr>
          <w:rFonts w:ascii="Times New Roman"/>
          <w:b w:val="false"/>
          <w:i w:val="false"/>
          <w:color w:val="000000"/>
          <w:sz w:val="28"/>
        </w:rPr>
        <w:t>
      Азаматтық қорғау құралымдары жергілікті жағдайлар мен өндірістің ерекшеліктеріне, қызмет түріне, жұмыс істейтіндердің санына, базасында азаматтық қорғау құралымдары құрылған ұйымдардың қызметін айқындайтын мүліктің, техника мен көлік құралдарының болуына қарай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Азаматтық қорғау құралымдарын ұстау және материалдық-техникалық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Саны елу адамнан аспайтын ұйымдарда, сондай-ақ орталық және жергілікті атқарушы органда азаматтық қорғаудың объектілік құралымдарын материалдық-техникалық қамтамасыз ету басшының шешімі бойынша жүзеге асырылады және оған: құрылатын бір азаматтық қорғау құралымына (жасақ, команда, буын, бекет) екі өрт сөндіргіш, бір медициналық дәрі қобдишасы және екі бірлік тасымалданатын радиостанция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Азаматтық қорғау құралымдарын дайындау және тарту";</w:t>
      </w:r>
    </w:p>
    <w:bookmarkStart w:name="z11" w:id="0"/>
    <w:p>
      <w:pPr>
        <w:spacing w:after="0"/>
        <w:ind w:left="0"/>
        <w:jc w:val="both"/>
      </w:pPr>
      <w:r>
        <w:rPr>
          <w:rFonts w:ascii="Times New Roman"/>
          <w:b w:val="false"/>
          <w:i w:val="false"/>
          <w:color w:val="000000"/>
          <w:sz w:val="28"/>
        </w:rPr>
        <w:t>
      24-тармақ мынадай редакцияда жазылсын:</w:t>
      </w:r>
    </w:p>
    <w:bookmarkEnd w:id="0"/>
    <w:p>
      <w:pPr>
        <w:spacing w:after="0"/>
        <w:ind w:left="0"/>
        <w:jc w:val="both"/>
      </w:pPr>
      <w:r>
        <w:rPr>
          <w:rFonts w:ascii="Times New Roman"/>
          <w:b w:val="false"/>
          <w:i w:val="false"/>
          <w:color w:val="000000"/>
          <w:sz w:val="28"/>
        </w:rPr>
        <w:t>
      "24. Азаматтық қорғау құралымдарын даярлау мыналарды қамтиды:</w:t>
      </w:r>
    </w:p>
    <w:p>
      <w:pPr>
        <w:spacing w:after="0"/>
        <w:ind w:left="0"/>
        <w:jc w:val="both"/>
      </w:pPr>
      <w:r>
        <w:rPr>
          <w:rFonts w:ascii="Times New Roman"/>
          <w:b w:val="false"/>
          <w:i w:val="false"/>
          <w:color w:val="000000"/>
          <w:sz w:val="28"/>
        </w:rPr>
        <w:t>
      1) үш жылда бір рет азаматтық қорғау саласындағы уәкілетті органның аумақтық бөлімшелерінде құралымдардың (жасақтардың, командалардың, звенолардың және бекеттердің) басшыларын оқыту;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азаматтық қорғау құралымдарының жеке құрамын дайындау бағдарламасы бойынша жеке құрамды оқыту;</w:t>
      </w:r>
    </w:p>
    <w:p>
      <w:pPr>
        <w:spacing w:after="0"/>
        <w:ind w:left="0"/>
        <w:jc w:val="both"/>
      </w:pPr>
      <w:r>
        <w:rPr>
          <w:rFonts w:ascii="Times New Roman"/>
          <w:b w:val="false"/>
          <w:i w:val="false"/>
          <w:color w:val="000000"/>
          <w:sz w:val="28"/>
        </w:rPr>
        <w:t>
      3) азаматтық қорғау құралымдарының азаматтық қорғау бойынша оқу-жаттығулар мен машықтануларға, сондай-ақ төтенше жағдайлар мен олардың салдарын жою іс-шараларына қатысуы.";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Азаматтық қорғау құралымдарының жеке құрамын жыл сайын оқытуды азаматтық қорғау саласындағы уәкілетті органның аумақтық бөлімшелерінде немесе ұйымдарында және оқу орындарында үш жылда бір рет оқудан өткен және тиісті сертификаттары бар азаматтық қорғау жөніндегі сабақтар топтарының басшылары және азаматтық қорғау құралымдарының командирлері жүргізеді.";</w:t>
      </w:r>
    </w:p>
    <w:bookmarkStart w:name="z13" w:id="1"/>
    <w:p>
      <w:pPr>
        <w:spacing w:after="0"/>
        <w:ind w:left="0"/>
        <w:jc w:val="both"/>
      </w:pPr>
      <w:r>
        <w:rPr>
          <w:rFonts w:ascii="Times New Roman"/>
          <w:b w:val="false"/>
          <w:i w:val="false"/>
          <w:color w:val="000000"/>
          <w:sz w:val="28"/>
        </w:rPr>
        <w:t>
      мынадай мазмұндағы 28-1 тармақпен толықтырылсын:</w:t>
      </w:r>
    </w:p>
    <w:bookmarkEnd w:id="1"/>
    <w:p>
      <w:pPr>
        <w:spacing w:after="0"/>
        <w:ind w:left="0"/>
        <w:jc w:val="both"/>
      </w:pPr>
      <w:r>
        <w:rPr>
          <w:rFonts w:ascii="Times New Roman"/>
          <w:b w:val="false"/>
          <w:i w:val="false"/>
          <w:color w:val="000000"/>
          <w:sz w:val="28"/>
        </w:rPr>
        <w:t>
      "28-1. Азаматтық қорғаудың әрбір құралымы үшін әзірлікке келтіру жоспары әзірленеді, онда мыналар көзделеді:</w:t>
      </w:r>
    </w:p>
    <w:p>
      <w:pPr>
        <w:spacing w:after="0"/>
        <w:ind w:left="0"/>
        <w:jc w:val="both"/>
      </w:pPr>
      <w:r>
        <w:rPr>
          <w:rFonts w:ascii="Times New Roman"/>
          <w:b w:val="false"/>
          <w:i w:val="false"/>
          <w:color w:val="000000"/>
          <w:sz w:val="28"/>
        </w:rPr>
        <w:t>
      1) жеке құрамды жұмыс және жұмыстан тыс уақытта құлақтандыру және жинау тәртібі;</w:t>
      </w:r>
    </w:p>
    <w:p>
      <w:pPr>
        <w:spacing w:after="0"/>
        <w:ind w:left="0"/>
        <w:jc w:val="both"/>
      </w:pPr>
      <w:r>
        <w:rPr>
          <w:rFonts w:ascii="Times New Roman"/>
          <w:b w:val="false"/>
          <w:i w:val="false"/>
          <w:color w:val="000000"/>
          <w:sz w:val="28"/>
        </w:rPr>
        <w:t>
      2) мүлікті, азық-түлікті беру орны, тәртібі, мерзімі;</w:t>
      </w:r>
    </w:p>
    <w:p>
      <w:pPr>
        <w:spacing w:after="0"/>
        <w:ind w:left="0"/>
        <w:jc w:val="both"/>
      </w:pPr>
      <w:r>
        <w:rPr>
          <w:rFonts w:ascii="Times New Roman"/>
          <w:b w:val="false"/>
          <w:i w:val="false"/>
          <w:color w:val="000000"/>
          <w:sz w:val="28"/>
        </w:rPr>
        <w:t>
      3) жиын кезеңінде құралымды басқару, оны әзірлікке келтіру және шоғырлану ауданына жылжыту немесе авариялық-құтқару жұмыстары мен кезек күттірмейтін жұмыстарды орындау мәселелері;</w:t>
      </w:r>
    </w:p>
    <w:p>
      <w:pPr>
        <w:spacing w:after="0"/>
        <w:ind w:left="0"/>
        <w:jc w:val="both"/>
      </w:pPr>
      <w:r>
        <w:rPr>
          <w:rFonts w:ascii="Times New Roman"/>
          <w:b w:val="false"/>
          <w:i w:val="false"/>
          <w:color w:val="000000"/>
          <w:sz w:val="28"/>
        </w:rPr>
        <w:t>
      4) материалдық-техникалық қамтамасыз ету тәртібі;</w:t>
      </w:r>
    </w:p>
    <w:p>
      <w:pPr>
        <w:spacing w:after="0"/>
        <w:ind w:left="0"/>
        <w:jc w:val="both"/>
      </w:pPr>
      <w:r>
        <w:rPr>
          <w:rFonts w:ascii="Times New Roman"/>
          <w:b w:val="false"/>
          <w:i w:val="false"/>
          <w:color w:val="000000"/>
          <w:sz w:val="28"/>
        </w:rPr>
        <w:t>
      5) техника мен құралдарды жеке құрамға бекіту;</w:t>
      </w:r>
    </w:p>
    <w:p>
      <w:pPr>
        <w:spacing w:after="0"/>
        <w:ind w:left="0"/>
        <w:jc w:val="both"/>
      </w:pPr>
      <w:r>
        <w:rPr>
          <w:rFonts w:ascii="Times New Roman"/>
          <w:b w:val="false"/>
          <w:i w:val="false"/>
          <w:color w:val="000000"/>
          <w:sz w:val="28"/>
        </w:rPr>
        <w:t>
      6) әртүрлі төтенше жағдайлар кезінде жұмыстар жүргізу учаскелері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4"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
    <w:bookmarkStart w:name="z16"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министрінің </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Ақпарат және қоғамдық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Әділет</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w:t>
            </w:r>
            <w:r>
              <w:rPr>
                <w:rFonts w:ascii="Times New Roman"/>
                <w:b/>
                <w:i w:val="false"/>
                <w:color w:val="000000"/>
                <w:sz w:val="20"/>
              </w:rPr>
              <w:t>азақстан Республикасы</w:t>
            </w:r>
          </w:p>
          <w:p>
            <w:pPr>
              <w:spacing w:after="20"/>
              <w:ind w:left="20"/>
              <w:jc w:val="both"/>
            </w:pPr>
            <w:r>
              <w:rPr>
                <w:rFonts w:ascii="Times New Roman"/>
                <w:b/>
                <w:i w:val="false"/>
                <w:color w:val="000000"/>
                <w:sz w:val="20"/>
              </w:rPr>
              <w:t xml:space="preserve">Денсаулық сақтау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Еңбек және халықты </w:t>
            </w:r>
          </w:p>
          <w:p>
            <w:pPr>
              <w:spacing w:after="20"/>
              <w:ind w:left="20"/>
              <w:jc w:val="both"/>
            </w:pPr>
            <w:r>
              <w:rPr>
                <w:rFonts w:ascii="Times New Roman"/>
                <w:b/>
                <w:i w:val="false"/>
                <w:color w:val="000000"/>
                <w:sz w:val="20"/>
              </w:rPr>
              <w:t>әлеуметт</w:t>
            </w:r>
            <w:r>
              <w:rPr>
                <w:rFonts w:ascii="Times New Roman"/>
                <w:b/>
                <w:i w:val="false"/>
                <w:color w:val="000000"/>
                <w:sz w:val="20"/>
              </w:rPr>
              <w:t>iк 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 xml:space="preserve">даму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Қорғаныс</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w:t>
            </w:r>
            <w:r>
              <w:rPr>
                <w:rFonts w:ascii="Times New Roman"/>
                <w:b/>
                <w:i w:val="false"/>
                <w:color w:val="000000"/>
                <w:sz w:val="20"/>
              </w:rPr>
              <w:t>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Экология, </w:t>
            </w:r>
          </w:p>
          <w:p>
            <w:pPr>
              <w:spacing w:after="20"/>
              <w:ind w:left="20"/>
              <w:jc w:val="both"/>
            </w:pPr>
            <w:r>
              <w:rPr>
                <w:rFonts w:ascii="Times New Roman"/>
                <w:b/>
                <w:i w:val="false"/>
                <w:color w:val="000000"/>
                <w:sz w:val="20"/>
              </w:rPr>
              <w:t xml:space="preserve">геология және табиғи ресурстар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2022 жылғы 22 ақпандағы </w:t>
            </w:r>
            <w:r>
              <w:br/>
            </w:r>
            <w:r>
              <w:rPr>
                <w:rFonts w:ascii="Times New Roman"/>
                <w:b w:val="false"/>
                <w:i w:val="false"/>
                <w:color w:val="000000"/>
                <w:sz w:val="20"/>
              </w:rPr>
              <w:t>№ 57 Бұйрығына қосымша</w:t>
            </w:r>
            <w:r>
              <w:br/>
            </w:r>
            <w:r>
              <w:rPr>
                <w:rFonts w:ascii="Times New Roman"/>
                <w:b w:val="false"/>
                <w:i w:val="false"/>
                <w:color w:val="000000"/>
                <w:sz w:val="20"/>
              </w:rPr>
              <w:t>Азаматтық қорғау</w:t>
            </w:r>
            <w:r>
              <w:br/>
            </w:r>
            <w:r>
              <w:rPr>
                <w:rFonts w:ascii="Times New Roman"/>
                <w:b w:val="false"/>
                <w:i w:val="false"/>
                <w:color w:val="000000"/>
                <w:sz w:val="20"/>
              </w:rPr>
              <w:t>құрылымдарын құру, ұстау,</w:t>
            </w:r>
            <w:r>
              <w:br/>
            </w:r>
            <w:r>
              <w:rPr>
                <w:rFonts w:ascii="Times New Roman"/>
                <w:b w:val="false"/>
                <w:i w:val="false"/>
                <w:color w:val="000000"/>
                <w:sz w:val="20"/>
              </w:rPr>
              <w:t>материалдық-техникалық</w:t>
            </w:r>
            <w:r>
              <w:br/>
            </w:r>
            <w:r>
              <w:rPr>
                <w:rFonts w:ascii="Times New Roman"/>
                <w:b w:val="false"/>
                <w:i w:val="false"/>
                <w:color w:val="000000"/>
                <w:sz w:val="20"/>
              </w:rPr>
              <w:t>қаматасыз ету, дайындау және</w:t>
            </w:r>
            <w:r>
              <w:br/>
            </w:r>
            <w:r>
              <w:rPr>
                <w:rFonts w:ascii="Times New Roman"/>
                <w:b w:val="false"/>
                <w:i w:val="false"/>
                <w:color w:val="000000"/>
                <w:sz w:val="20"/>
              </w:rPr>
              <w:t>оларды тарту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қорғаудың құралымдарындағы қажеттілік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 жеке құрамының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топқа жатқызылған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аудандар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жиынтық жасағы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және құтқару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барлау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(теңіз) барлау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(теңіз) бағытына 2 буын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барлау буыны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бағытына 2 буын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аумақтық-әкімшілік бірлік әкімінің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жасағы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аурухана желісіне 500 төсек-орын 1 жасақ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жылжымалы госпиталі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 есебінен жұмылдыру тапсырманың негізінде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госпиталь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Токсикологиялық-терапевтік жылжымалы госпиталь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эпидемияға қарсы жылжымалы жасағы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көпбейінді, қалалық емдеу мекемелері (ауруханалар) құрады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жағдайға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Жол-көпір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барлау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авариялық-қалпына келтіру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азаматтық қорғау құралымдары жеке құрамының 1500 адамын ыстық тамақпен қамтамасыз ету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жабдықтаудың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азаматтық қорғау құралымдарының жеке құрамына 4000 құрғақ азық беру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жабдықтаудың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рейсте жеткізу және 1400 жиынтық беру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жанармай құю жылжымалы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құрылымдарының әр 400-500 техникасына біреу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азаматтық қорғау құралымдары жеке құрамының 7,5 мың адамын ауыз сумен қамтамасыз ету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тасымалдау автоколоннасы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уақыттағы және соғыс уақытындағы ықтимал жағдайларға байланысты тиісті азаматтық қорғаныс бастығының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автоколоннасы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Автосанитариялық жасақ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Эвакосанитариялық пойыз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өсімдіктерді қорғау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қорғау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жасақтар, командалар, буындар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уақыттағы және соғыс уақытындағы ықтимал жағдайларға байланысты тиісті азаматтық қорғаныс бастығының шешімі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