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2cab" w14:textId="06e2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2020 жылғы 25 желтоқсандағы № 6С-79-2 "2021-2023 жылдарға арналған ауылдық округтердің және Каменка ауылының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6 сәуірдегі № 7С-6-2 шешімі. Ақмола облысының Әділет департаментінде 2021 жылғы 14 сәуірде № 8428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"2021 - 2023 жылдарға арналған ауылдық округтердің және Каменка ауылының бюджеттері туралы" 2020 жылғы 25 желтоқсандағы № 6С-79-2 (Нормативтік құқықтық актілерді мемлекеттік тіркеу тізілімінде № 8314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2021-2023 жылдарға арналған бюджеті, тиісінше 1, 1-1 және 1-2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74000,4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21891,4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Есіл ауылдық округінің 2021-2023 жылдарға арналған бюджеті, тиісінше 2, 2-1 және 2-2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1586,8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Жалтыр ауылдық округінің 2021-2023 жылдарға арналған бюджеті, тиісінше 3, 3-1 және 3-2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42816,0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11496,0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Колутон ауылдық округінің 2021-2023 жылдарға арналған бюджеті, тиісінше 4, 4-1 және 4-2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754,5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Қызылжар ауылдық округінің 2021-2023 жылдарға арналған бюджеті, тиісінше 5, 5-1 және 5-2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Николаевка ауылдық округінің 2021-2023 жылдарға арналған бюджеті, тиісінше 6, 6-1 және 6-2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2501,1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Новочеркасск ауылдық округінің 2021-2023 жылдарға арналған бюджеті, тиісінше 7, 7-1 және 7-2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1400,1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Острогорск ауылдық округінің 2021-2023 жылдарға арналған бюджеті, тиісінше 8, 8-1 және 8-2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Первомай ауылдық округінің 2021-2023 жылдарға арналған бюджеті, тиісінше 9, 9-1 және 9-2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2757,2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Старый Колутон ауылдық округінің 2021-2023 жылдарға арналған бюджеті, тиісінше 10, 10-1 және 10-2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Ұзынкөл ауылдық округінің 2021-2023 жылдарға арналған бюджеті, тиісінше 11, 11-1 және 11-2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3392,9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Каменка ауылының 2021-2023 жылдарға арналған бюджеті, тиісінше 12, 12-1 және 12-2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-21891,4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Жалтыр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-11496,0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Колутон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Николаев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Новочеркасск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Острогорск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Первомай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Старый Колутон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Ұзынкөл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6C-79-2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Каменка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