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15d1" w14:textId="1991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2020 жылғы 26 қарашадағы № 216 қаулысы. Батыс Қазақстан облысының Әділет департаментінде 2020 жылғы 26 қарашада № 6496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Сырым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салық салу объектісінің елді мекенде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ауданы әкімдігінің 2018 жылғы 28 мамырдағы № 172 "Елді мекендегі салық салу объектісінің орналасқан жерін ескеретін аймаққа бөлу коэффициентін бекіту туралы" (Нормативтік құқықтық актілерді мемлекеттік тіркеу тізілімінде № 5218 тіркелген, 2018 жылы 8 маусымда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Сырым ауданы әкімі аппаратының басшысы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А.Саркуловқа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Сырым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 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____________2020 жыл.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</w:t>
      </w:r>
      <w:r>
        <w:br/>
      </w:r>
      <w:r>
        <w:rPr>
          <w:rFonts w:ascii="Times New Roman"/>
          <w:b/>
          <w:i w:val="false"/>
          <w:color w:val="000000"/>
        </w:rPr>
        <w:t>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Шолақаңқаты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Сегізүй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